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9AAB2" w14:textId="77777777" w:rsidR="00BF1301" w:rsidRDefault="00BF1301" w:rsidP="00BF1301">
      <w:pPr>
        <w:spacing w:after="1440"/>
        <w:jc w:val="center"/>
        <w:rPr>
          <w:b/>
          <w:sz w:val="44"/>
        </w:rPr>
      </w:pPr>
      <w:r>
        <w:t>Zarząd Województwa Śląskiego</w:t>
      </w:r>
    </w:p>
    <w:p w14:paraId="670666C6" w14:textId="77777777" w:rsidR="00BF1301" w:rsidRDefault="00BF1301" w:rsidP="00BF1301">
      <w:pPr>
        <w:jc w:val="center"/>
        <w:rPr>
          <w:b/>
          <w:sz w:val="44"/>
        </w:rPr>
      </w:pPr>
      <w:r>
        <w:rPr>
          <w:b/>
          <w:sz w:val="44"/>
        </w:rPr>
        <w:t>Szczegółowy Opis Priorytetów</w:t>
      </w:r>
    </w:p>
    <w:p w14:paraId="7BA19A5C" w14:textId="77777777" w:rsidR="00BF1301" w:rsidRDefault="00BF1301" w:rsidP="00BF1301">
      <w:pPr>
        <w:jc w:val="center"/>
        <w:rPr>
          <w:b/>
          <w:sz w:val="44"/>
        </w:rPr>
      </w:pPr>
      <w:r>
        <w:rPr>
          <w:b/>
          <w:sz w:val="44"/>
        </w:rPr>
        <w:t>Programu</w:t>
      </w:r>
    </w:p>
    <w:p w14:paraId="01ABB2DD" w14:textId="77777777" w:rsidR="00BF1301" w:rsidRDefault="00BF1301" w:rsidP="00BF1301">
      <w:pPr>
        <w:spacing w:after="1440"/>
        <w:jc w:val="center"/>
        <w:rPr>
          <w:b/>
          <w:sz w:val="44"/>
        </w:rPr>
      </w:pPr>
      <w:r>
        <w:rPr>
          <w:b/>
          <w:sz w:val="44"/>
        </w:rPr>
        <w:t>Fundusze Europejskie dla Śląskiego 2021-2027</w:t>
      </w:r>
    </w:p>
    <w:p w14:paraId="32F96A14" w14:textId="77777777" w:rsidR="00BF1301" w:rsidRDefault="00BF1301" w:rsidP="00BF1301">
      <w:pPr>
        <w:spacing w:after="600"/>
        <w:jc w:val="center"/>
        <w:rPr>
          <w:b/>
          <w:sz w:val="44"/>
        </w:rPr>
      </w:pPr>
      <w:r>
        <w:rPr>
          <w:noProof/>
        </w:rPr>
        <w:drawing>
          <wp:inline distT="0" distB="0" distL="0" distR="0" wp14:anchorId="25675809" wp14:editId="08A928CA">
            <wp:extent cx="3219450" cy="1666875"/>
            <wp:effectExtent l="0" t="0" r="0" b="9525"/>
            <wp:docPr id="2" name="Obraz 2" descr="Znak herbowy Województwa Śląskiego"/>
            <wp:cNvGraphicFramePr/>
            <a:graphic xmlns:a="http://schemas.openxmlformats.org/drawingml/2006/main">
              <a:graphicData uri="http://schemas.openxmlformats.org/drawingml/2006/picture">
                <pic:pic xmlns:pic="http://schemas.openxmlformats.org/drawingml/2006/picture">
                  <pic:nvPicPr>
                    <pic:cNvPr id="1" name="Obraz 1" descr="Znak herbowy Województwa Śląskiego"/>
                    <pic:cNvPicPr/>
                  </pic:nvPicPr>
                  <pic:blipFill>
                    <a:blip r:embed="rId6"/>
                    <a:stretch>
                      <a:fillRect/>
                    </a:stretch>
                  </pic:blipFill>
                  <pic:spPr>
                    <a:xfrm>
                      <a:off x="0" y="0"/>
                      <a:ext cx="3219450" cy="1666875"/>
                    </a:xfrm>
                    <a:prstGeom prst="rect">
                      <a:avLst/>
                    </a:prstGeom>
                  </pic:spPr>
                </pic:pic>
              </a:graphicData>
            </a:graphic>
          </wp:inline>
        </w:drawing>
      </w:r>
    </w:p>
    <w:p w14:paraId="02C50733" w14:textId="77777777" w:rsidR="00123F73" w:rsidRDefault="00993F60">
      <w:pPr>
        <w:jc w:val="center"/>
      </w:pPr>
      <w:r>
        <w:t>Wersja SZOP.FESL.023</w:t>
      </w:r>
    </w:p>
    <w:p w14:paraId="4307669A" w14:textId="3534E44B" w:rsidR="00B14886" w:rsidRPr="00B14886" w:rsidRDefault="00B14886" w:rsidP="00B14886">
      <w:pPr>
        <w:jc w:val="center"/>
        <w:rPr>
          <w:rFonts w:ascii="Calibri" w:hAnsi="Calibri"/>
        </w:rPr>
      </w:pPr>
      <w:r w:rsidRPr="00B14886">
        <w:rPr>
          <w:rFonts w:ascii="Calibri" w:hAnsi="Calibri"/>
        </w:rPr>
        <w:t>Obowiązuje od dnia 2026-0</w:t>
      </w:r>
      <w:r>
        <w:rPr>
          <w:rFonts w:ascii="Calibri" w:hAnsi="Calibri"/>
        </w:rPr>
        <w:t>7</w:t>
      </w:r>
      <w:r w:rsidRPr="00B14886">
        <w:rPr>
          <w:rFonts w:ascii="Calibri" w:hAnsi="Calibri"/>
        </w:rPr>
        <w:t>-2</w:t>
      </w:r>
      <w:r>
        <w:rPr>
          <w:rFonts w:ascii="Calibri" w:hAnsi="Calibri"/>
        </w:rPr>
        <w:t>4</w:t>
      </w:r>
    </w:p>
    <w:p w14:paraId="0DF7F305" w14:textId="77777777" w:rsidR="00B14886" w:rsidRPr="00B14886" w:rsidRDefault="00B14886" w:rsidP="00B14886">
      <w:pPr>
        <w:spacing w:after="600"/>
        <w:jc w:val="center"/>
        <w:rPr>
          <w:rFonts w:ascii="Calibri" w:hAnsi="Calibri"/>
        </w:rPr>
      </w:pPr>
      <w:r w:rsidRPr="00B14886">
        <w:rPr>
          <w:rFonts w:ascii="Calibri" w:hAnsi="Calibri"/>
        </w:rPr>
        <w:t>SZOP Bieżący</w:t>
      </w:r>
    </w:p>
    <w:p w14:paraId="02C50739" w14:textId="059687C0" w:rsidR="00123F73" w:rsidRDefault="00BF1301">
      <w:pPr>
        <w:rPr>
          <w:b/>
          <w:i/>
          <w:sz w:val="44"/>
        </w:rPr>
      </w:pPr>
      <w:r>
        <w:rPr>
          <w:noProof/>
        </w:rPr>
        <w:drawing>
          <wp:inline distT="0" distB="0" distL="0" distR="0" wp14:anchorId="7AE2826D" wp14:editId="5EB279D8">
            <wp:extent cx="5928360" cy="436880"/>
            <wp:effectExtent l="0" t="0" r="0" b="1270"/>
            <wp:docPr id="4" name="Obraz 4" descr="Zestaw logotypów FE SL&#10;Wersja pełnokolorowa: Logo Funduszy Europejskich i napis Fundusze Europejskie dla Śląskiego, barwy Rzeczpospolitej z dopiskiem &quot;Rzeczpospolita Polska&quot;, napis Dofinansowane przez Unię Europejską, flaga UE, znak Województwa Śląskiego"/>
            <wp:cNvGraphicFramePr/>
            <a:graphic xmlns:a="http://schemas.openxmlformats.org/drawingml/2006/main">
              <a:graphicData uri="http://schemas.openxmlformats.org/drawingml/2006/picture">
                <pic:pic xmlns:pic="http://schemas.openxmlformats.org/drawingml/2006/picture">
                  <pic:nvPicPr>
                    <pic:cNvPr id="4" name="Obraz 4" descr="Zestaw logotypów FE SL&#10;Wersja pełnokolorowa: Logo Funduszy Europejskich i napis Fundusze Europejskie dla Śląskiego, barwy Rzeczpospolitej z dopiskiem &quot;Rzeczpospolita Polska&quot;, napis Dofinansowane przez Unię Europejską, flaga UE, znak Województwa Śląskiego"/>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8360" cy="436880"/>
                    </a:xfrm>
                    <a:prstGeom prst="rect">
                      <a:avLst/>
                    </a:prstGeom>
                    <a:noFill/>
                    <a:ln>
                      <a:noFill/>
                    </a:ln>
                  </pic:spPr>
                </pic:pic>
              </a:graphicData>
            </a:graphic>
          </wp:inline>
        </w:drawing>
      </w:r>
      <w:r w:rsidR="00993F60">
        <w:br w:type="page"/>
      </w:r>
    </w:p>
    <w:p w14:paraId="02C5073A" w14:textId="77777777" w:rsidR="00123F73" w:rsidRDefault="00993F60">
      <w:pPr>
        <w:pStyle w:val="Nagwekspisutreci"/>
        <w:rPr>
          <w:rFonts w:asciiTheme="minorHAnsi" w:hAnsiTheme="minorHAnsi" w:cs="Calibri"/>
          <w:b/>
          <w:color w:val="auto"/>
        </w:rPr>
      </w:pPr>
      <w:r>
        <w:rPr>
          <w:rFonts w:asciiTheme="minorHAnsi" w:hAnsiTheme="minorHAnsi" w:cs="Calibri"/>
          <w:b/>
          <w:color w:val="auto"/>
        </w:rPr>
        <w:lastRenderedPageBreak/>
        <w:t>Spis treści</w:t>
      </w:r>
    </w:p>
    <w:p w14:paraId="02C5073B" w14:textId="77777777" w:rsidR="00123F73" w:rsidRDefault="00123F73">
      <w:pPr>
        <w:rPr>
          <w:b/>
        </w:rPr>
      </w:pPr>
    </w:p>
    <w:p w14:paraId="02C5073C" w14:textId="77777777" w:rsidR="00123F73" w:rsidRDefault="00123F73">
      <w:pPr>
        <w:rPr>
          <w:b/>
        </w:rPr>
      </w:pPr>
    </w:p>
    <w:p w14:paraId="3DE4AE6F" w14:textId="5FF546DA" w:rsidR="00BF1301" w:rsidRDefault="00993F60">
      <w:pPr>
        <w:pStyle w:val="Spistreci1"/>
        <w:tabs>
          <w:tab w:val="right" w:leader="dot" w:pos="9396"/>
        </w:tabs>
        <w:rPr>
          <w:rFonts w:eastAsiaTheme="minorEastAsia" w:cstheme="minorBidi"/>
          <w:noProof/>
          <w:sz w:val="22"/>
          <w:szCs w:val="22"/>
        </w:rPr>
      </w:pPr>
      <w:r>
        <w:fldChar w:fldCharType="begin"/>
      </w:r>
      <w:r>
        <w:instrText>TOC \o "1-3" \h \z \u</w:instrText>
      </w:r>
      <w:r>
        <w:fldChar w:fldCharType="separate"/>
      </w:r>
      <w:hyperlink w:anchor="_Toc235079739" w:history="1">
        <w:r w:rsidR="00BF1301" w:rsidRPr="004E5027">
          <w:rPr>
            <w:rStyle w:val="Hipercze"/>
            <w:rFonts w:ascii="Calibri" w:hAnsi="Calibri"/>
            <w:noProof/>
          </w:rPr>
          <w:t>I Informacje na temat Priorytetów i Działań</w:t>
        </w:r>
        <w:r w:rsidR="00BF1301">
          <w:rPr>
            <w:noProof/>
            <w:webHidden/>
          </w:rPr>
          <w:tab/>
        </w:r>
        <w:r w:rsidR="00BF1301">
          <w:rPr>
            <w:noProof/>
            <w:webHidden/>
          </w:rPr>
          <w:fldChar w:fldCharType="begin"/>
        </w:r>
        <w:r w:rsidR="00BF1301">
          <w:rPr>
            <w:noProof/>
            <w:webHidden/>
          </w:rPr>
          <w:instrText xml:space="preserve"> PAGEREF _Toc235079739 \h </w:instrText>
        </w:r>
        <w:r w:rsidR="00BF1301">
          <w:rPr>
            <w:noProof/>
            <w:webHidden/>
          </w:rPr>
        </w:r>
        <w:r w:rsidR="00BF1301">
          <w:rPr>
            <w:noProof/>
            <w:webHidden/>
          </w:rPr>
          <w:fldChar w:fldCharType="separate"/>
        </w:r>
        <w:r w:rsidR="00D60E21">
          <w:rPr>
            <w:noProof/>
            <w:webHidden/>
          </w:rPr>
          <w:t>10</w:t>
        </w:r>
        <w:r w:rsidR="00BF1301">
          <w:rPr>
            <w:noProof/>
            <w:webHidden/>
          </w:rPr>
          <w:fldChar w:fldCharType="end"/>
        </w:r>
      </w:hyperlink>
    </w:p>
    <w:p w14:paraId="0904AA26" w14:textId="67153E35" w:rsidR="00BF1301" w:rsidRDefault="00B14886">
      <w:pPr>
        <w:pStyle w:val="Spistreci2"/>
        <w:tabs>
          <w:tab w:val="right" w:leader="dot" w:pos="9396"/>
        </w:tabs>
        <w:rPr>
          <w:rFonts w:eastAsiaTheme="minorEastAsia" w:cstheme="minorBidi"/>
          <w:noProof/>
          <w:sz w:val="22"/>
          <w:szCs w:val="22"/>
        </w:rPr>
      </w:pPr>
      <w:hyperlink w:anchor="_Toc235079740" w:history="1">
        <w:r w:rsidR="00BF1301" w:rsidRPr="004E5027">
          <w:rPr>
            <w:rStyle w:val="Hipercze"/>
            <w:rFonts w:ascii="Calibri" w:hAnsi="Calibri"/>
            <w:noProof/>
          </w:rPr>
          <w:t>Priorytet FESL.01 Fundusze Europejskie na inteligentny rozwój</w:t>
        </w:r>
        <w:r w:rsidR="00BF1301">
          <w:rPr>
            <w:noProof/>
            <w:webHidden/>
          </w:rPr>
          <w:tab/>
        </w:r>
        <w:r w:rsidR="00BF1301">
          <w:rPr>
            <w:noProof/>
            <w:webHidden/>
          </w:rPr>
          <w:fldChar w:fldCharType="begin"/>
        </w:r>
        <w:r w:rsidR="00BF1301">
          <w:rPr>
            <w:noProof/>
            <w:webHidden/>
          </w:rPr>
          <w:instrText xml:space="preserve"> PAGEREF _Toc235079740 \h </w:instrText>
        </w:r>
        <w:r w:rsidR="00BF1301">
          <w:rPr>
            <w:noProof/>
            <w:webHidden/>
          </w:rPr>
        </w:r>
        <w:r w:rsidR="00BF1301">
          <w:rPr>
            <w:noProof/>
            <w:webHidden/>
          </w:rPr>
          <w:fldChar w:fldCharType="separate"/>
        </w:r>
        <w:r w:rsidR="00D60E21">
          <w:rPr>
            <w:noProof/>
            <w:webHidden/>
          </w:rPr>
          <w:t>10</w:t>
        </w:r>
        <w:r w:rsidR="00BF1301">
          <w:rPr>
            <w:noProof/>
            <w:webHidden/>
          </w:rPr>
          <w:fldChar w:fldCharType="end"/>
        </w:r>
      </w:hyperlink>
    </w:p>
    <w:p w14:paraId="130034C5" w14:textId="6E1053E1" w:rsidR="00BF1301" w:rsidRDefault="00B14886">
      <w:pPr>
        <w:pStyle w:val="Spistreci3"/>
        <w:tabs>
          <w:tab w:val="right" w:leader="dot" w:pos="9396"/>
        </w:tabs>
        <w:rPr>
          <w:rFonts w:eastAsiaTheme="minorEastAsia" w:cstheme="minorBidi"/>
          <w:noProof/>
          <w:sz w:val="22"/>
          <w:szCs w:val="22"/>
        </w:rPr>
      </w:pPr>
      <w:hyperlink w:anchor="_Toc235079741" w:history="1">
        <w:r w:rsidR="00BF1301" w:rsidRPr="004E5027">
          <w:rPr>
            <w:rStyle w:val="Hipercze"/>
            <w:rFonts w:ascii="Calibri" w:hAnsi="Calibri"/>
            <w:noProof/>
          </w:rPr>
          <w:t>Działanie FESL.01.01 B+R - organizacje badawcze</w:t>
        </w:r>
        <w:r w:rsidR="00BF1301">
          <w:rPr>
            <w:noProof/>
            <w:webHidden/>
          </w:rPr>
          <w:tab/>
        </w:r>
        <w:r w:rsidR="00BF1301">
          <w:rPr>
            <w:noProof/>
            <w:webHidden/>
          </w:rPr>
          <w:fldChar w:fldCharType="begin"/>
        </w:r>
        <w:r w:rsidR="00BF1301">
          <w:rPr>
            <w:noProof/>
            <w:webHidden/>
          </w:rPr>
          <w:instrText xml:space="preserve"> PAGEREF _Toc235079741 \h </w:instrText>
        </w:r>
        <w:r w:rsidR="00BF1301">
          <w:rPr>
            <w:noProof/>
            <w:webHidden/>
          </w:rPr>
        </w:r>
        <w:r w:rsidR="00BF1301">
          <w:rPr>
            <w:noProof/>
            <w:webHidden/>
          </w:rPr>
          <w:fldChar w:fldCharType="separate"/>
        </w:r>
        <w:r w:rsidR="00D60E21">
          <w:rPr>
            <w:noProof/>
            <w:webHidden/>
          </w:rPr>
          <w:t>10</w:t>
        </w:r>
        <w:r w:rsidR="00BF1301">
          <w:rPr>
            <w:noProof/>
            <w:webHidden/>
          </w:rPr>
          <w:fldChar w:fldCharType="end"/>
        </w:r>
      </w:hyperlink>
    </w:p>
    <w:p w14:paraId="09F52F8E" w14:textId="4EED1AFD" w:rsidR="00BF1301" w:rsidRDefault="00B14886">
      <w:pPr>
        <w:pStyle w:val="Spistreci3"/>
        <w:tabs>
          <w:tab w:val="right" w:leader="dot" w:pos="9396"/>
        </w:tabs>
        <w:rPr>
          <w:rFonts w:eastAsiaTheme="minorEastAsia" w:cstheme="minorBidi"/>
          <w:noProof/>
          <w:sz w:val="22"/>
          <w:szCs w:val="22"/>
        </w:rPr>
      </w:pPr>
      <w:hyperlink w:anchor="_Toc235079742" w:history="1">
        <w:r w:rsidR="00BF1301" w:rsidRPr="004E5027">
          <w:rPr>
            <w:rStyle w:val="Hipercze"/>
            <w:rFonts w:ascii="Calibri" w:hAnsi="Calibri"/>
            <w:noProof/>
          </w:rPr>
          <w:t>Działanie FESL.01.02 Badania, rozwój i innowacje w przedsiębiorstwach</w:t>
        </w:r>
        <w:r w:rsidR="00BF1301">
          <w:rPr>
            <w:noProof/>
            <w:webHidden/>
          </w:rPr>
          <w:tab/>
        </w:r>
        <w:r w:rsidR="00BF1301">
          <w:rPr>
            <w:noProof/>
            <w:webHidden/>
          </w:rPr>
          <w:fldChar w:fldCharType="begin"/>
        </w:r>
        <w:r w:rsidR="00BF1301">
          <w:rPr>
            <w:noProof/>
            <w:webHidden/>
          </w:rPr>
          <w:instrText xml:space="preserve"> PAGEREF _Toc235079742 \h </w:instrText>
        </w:r>
        <w:r w:rsidR="00BF1301">
          <w:rPr>
            <w:noProof/>
            <w:webHidden/>
          </w:rPr>
        </w:r>
        <w:r w:rsidR="00BF1301">
          <w:rPr>
            <w:noProof/>
            <w:webHidden/>
          </w:rPr>
          <w:fldChar w:fldCharType="separate"/>
        </w:r>
        <w:r w:rsidR="00D60E21">
          <w:rPr>
            <w:noProof/>
            <w:webHidden/>
          </w:rPr>
          <w:t>14</w:t>
        </w:r>
        <w:r w:rsidR="00BF1301">
          <w:rPr>
            <w:noProof/>
            <w:webHidden/>
          </w:rPr>
          <w:fldChar w:fldCharType="end"/>
        </w:r>
      </w:hyperlink>
    </w:p>
    <w:p w14:paraId="1E2E00BA" w14:textId="6F4F7F46" w:rsidR="00BF1301" w:rsidRDefault="00B14886">
      <w:pPr>
        <w:pStyle w:val="Spistreci3"/>
        <w:tabs>
          <w:tab w:val="right" w:leader="dot" w:pos="9396"/>
        </w:tabs>
        <w:rPr>
          <w:rFonts w:eastAsiaTheme="minorEastAsia" w:cstheme="minorBidi"/>
          <w:noProof/>
          <w:sz w:val="22"/>
          <w:szCs w:val="22"/>
        </w:rPr>
      </w:pPr>
      <w:hyperlink w:anchor="_Toc235079743" w:history="1">
        <w:r w:rsidR="00BF1301" w:rsidRPr="004E5027">
          <w:rPr>
            <w:rStyle w:val="Hipercze"/>
            <w:rFonts w:ascii="Calibri" w:hAnsi="Calibri"/>
            <w:noProof/>
          </w:rPr>
          <w:t>Działanie FESL.01.03 Ekosystem RIS</w:t>
        </w:r>
        <w:r w:rsidR="00BF1301">
          <w:rPr>
            <w:noProof/>
            <w:webHidden/>
          </w:rPr>
          <w:tab/>
        </w:r>
        <w:r w:rsidR="00BF1301">
          <w:rPr>
            <w:noProof/>
            <w:webHidden/>
          </w:rPr>
          <w:fldChar w:fldCharType="begin"/>
        </w:r>
        <w:r w:rsidR="00BF1301">
          <w:rPr>
            <w:noProof/>
            <w:webHidden/>
          </w:rPr>
          <w:instrText xml:space="preserve"> PAGEREF _Toc235079743 \h </w:instrText>
        </w:r>
        <w:r w:rsidR="00BF1301">
          <w:rPr>
            <w:noProof/>
            <w:webHidden/>
          </w:rPr>
        </w:r>
        <w:r w:rsidR="00BF1301">
          <w:rPr>
            <w:noProof/>
            <w:webHidden/>
          </w:rPr>
          <w:fldChar w:fldCharType="separate"/>
        </w:r>
        <w:r w:rsidR="00D60E21">
          <w:rPr>
            <w:noProof/>
            <w:webHidden/>
          </w:rPr>
          <w:t>19</w:t>
        </w:r>
        <w:r w:rsidR="00BF1301">
          <w:rPr>
            <w:noProof/>
            <w:webHidden/>
          </w:rPr>
          <w:fldChar w:fldCharType="end"/>
        </w:r>
      </w:hyperlink>
    </w:p>
    <w:p w14:paraId="65DEA481" w14:textId="44978D8D" w:rsidR="00BF1301" w:rsidRDefault="00B14886">
      <w:pPr>
        <w:pStyle w:val="Spistreci3"/>
        <w:tabs>
          <w:tab w:val="right" w:leader="dot" w:pos="9396"/>
        </w:tabs>
        <w:rPr>
          <w:rFonts w:eastAsiaTheme="minorEastAsia" w:cstheme="minorBidi"/>
          <w:noProof/>
          <w:sz w:val="22"/>
          <w:szCs w:val="22"/>
        </w:rPr>
      </w:pPr>
      <w:hyperlink w:anchor="_Toc235079744" w:history="1">
        <w:r w:rsidR="00BF1301" w:rsidRPr="004E5027">
          <w:rPr>
            <w:rStyle w:val="Hipercze"/>
            <w:rFonts w:ascii="Calibri" w:hAnsi="Calibri"/>
            <w:noProof/>
          </w:rPr>
          <w:t>Działanie FESL.01.04 Cyfryzacja administracji publicznej</w:t>
        </w:r>
        <w:r w:rsidR="00BF1301">
          <w:rPr>
            <w:noProof/>
            <w:webHidden/>
          </w:rPr>
          <w:tab/>
        </w:r>
        <w:r w:rsidR="00BF1301">
          <w:rPr>
            <w:noProof/>
            <w:webHidden/>
          </w:rPr>
          <w:fldChar w:fldCharType="begin"/>
        </w:r>
        <w:r w:rsidR="00BF1301">
          <w:rPr>
            <w:noProof/>
            <w:webHidden/>
          </w:rPr>
          <w:instrText xml:space="preserve"> PAGEREF _Toc235079744 \h </w:instrText>
        </w:r>
        <w:r w:rsidR="00BF1301">
          <w:rPr>
            <w:noProof/>
            <w:webHidden/>
          </w:rPr>
        </w:r>
        <w:r w:rsidR="00BF1301">
          <w:rPr>
            <w:noProof/>
            <w:webHidden/>
          </w:rPr>
          <w:fldChar w:fldCharType="separate"/>
        </w:r>
        <w:r w:rsidR="00D60E21">
          <w:rPr>
            <w:noProof/>
            <w:webHidden/>
          </w:rPr>
          <w:t>22</w:t>
        </w:r>
        <w:r w:rsidR="00BF1301">
          <w:rPr>
            <w:noProof/>
            <w:webHidden/>
          </w:rPr>
          <w:fldChar w:fldCharType="end"/>
        </w:r>
      </w:hyperlink>
    </w:p>
    <w:p w14:paraId="2959C6E6" w14:textId="704A97CE" w:rsidR="00BF1301" w:rsidRDefault="00B14886">
      <w:pPr>
        <w:pStyle w:val="Spistreci3"/>
        <w:tabs>
          <w:tab w:val="right" w:leader="dot" w:pos="9396"/>
        </w:tabs>
        <w:rPr>
          <w:rFonts w:eastAsiaTheme="minorEastAsia" w:cstheme="minorBidi"/>
          <w:noProof/>
          <w:sz w:val="22"/>
          <w:szCs w:val="22"/>
        </w:rPr>
      </w:pPr>
      <w:hyperlink w:anchor="_Toc235079745" w:history="1">
        <w:r w:rsidR="00BF1301" w:rsidRPr="004E5027">
          <w:rPr>
            <w:rStyle w:val="Hipercze"/>
            <w:rFonts w:ascii="Calibri" w:hAnsi="Calibri"/>
            <w:noProof/>
          </w:rPr>
          <w:t>Działanie FESL.01.05 Innowacyjne rozwiązania cyfrowe w ochronie zdrowia</w:t>
        </w:r>
        <w:r w:rsidR="00BF1301">
          <w:rPr>
            <w:noProof/>
            <w:webHidden/>
          </w:rPr>
          <w:tab/>
        </w:r>
        <w:r w:rsidR="00BF1301">
          <w:rPr>
            <w:noProof/>
            <w:webHidden/>
          </w:rPr>
          <w:fldChar w:fldCharType="begin"/>
        </w:r>
        <w:r w:rsidR="00BF1301">
          <w:rPr>
            <w:noProof/>
            <w:webHidden/>
          </w:rPr>
          <w:instrText xml:space="preserve"> PAGEREF _Toc235079745 \h </w:instrText>
        </w:r>
        <w:r w:rsidR="00BF1301">
          <w:rPr>
            <w:noProof/>
            <w:webHidden/>
          </w:rPr>
        </w:r>
        <w:r w:rsidR="00BF1301">
          <w:rPr>
            <w:noProof/>
            <w:webHidden/>
          </w:rPr>
          <w:fldChar w:fldCharType="separate"/>
        </w:r>
        <w:r w:rsidR="00D60E21">
          <w:rPr>
            <w:noProof/>
            <w:webHidden/>
          </w:rPr>
          <w:t>28</w:t>
        </w:r>
        <w:r w:rsidR="00BF1301">
          <w:rPr>
            <w:noProof/>
            <w:webHidden/>
          </w:rPr>
          <w:fldChar w:fldCharType="end"/>
        </w:r>
      </w:hyperlink>
    </w:p>
    <w:p w14:paraId="74303DD1" w14:textId="5F5823A8" w:rsidR="00BF1301" w:rsidRDefault="00B14886">
      <w:pPr>
        <w:pStyle w:val="Spistreci3"/>
        <w:tabs>
          <w:tab w:val="right" w:leader="dot" w:pos="9396"/>
        </w:tabs>
        <w:rPr>
          <w:rFonts w:eastAsiaTheme="minorEastAsia" w:cstheme="minorBidi"/>
          <w:noProof/>
          <w:sz w:val="22"/>
          <w:szCs w:val="22"/>
        </w:rPr>
      </w:pPr>
      <w:hyperlink w:anchor="_Toc235079746" w:history="1">
        <w:r w:rsidR="00BF1301" w:rsidRPr="004E5027">
          <w:rPr>
            <w:rStyle w:val="Hipercze"/>
            <w:rFonts w:ascii="Calibri" w:hAnsi="Calibri"/>
            <w:noProof/>
          </w:rPr>
          <w:t>Działanie FESL.01.06 Rozwój przedsiębiorczości - EFRR</w:t>
        </w:r>
        <w:r w:rsidR="00BF1301">
          <w:rPr>
            <w:noProof/>
            <w:webHidden/>
          </w:rPr>
          <w:tab/>
        </w:r>
        <w:r w:rsidR="00BF1301">
          <w:rPr>
            <w:noProof/>
            <w:webHidden/>
          </w:rPr>
          <w:fldChar w:fldCharType="begin"/>
        </w:r>
        <w:r w:rsidR="00BF1301">
          <w:rPr>
            <w:noProof/>
            <w:webHidden/>
          </w:rPr>
          <w:instrText xml:space="preserve"> PAGEREF _Toc235079746 \h </w:instrText>
        </w:r>
        <w:r w:rsidR="00BF1301">
          <w:rPr>
            <w:noProof/>
            <w:webHidden/>
          </w:rPr>
        </w:r>
        <w:r w:rsidR="00BF1301">
          <w:rPr>
            <w:noProof/>
            <w:webHidden/>
          </w:rPr>
          <w:fldChar w:fldCharType="separate"/>
        </w:r>
        <w:r w:rsidR="00D60E21">
          <w:rPr>
            <w:noProof/>
            <w:webHidden/>
          </w:rPr>
          <w:t>32</w:t>
        </w:r>
        <w:r w:rsidR="00BF1301">
          <w:rPr>
            <w:noProof/>
            <w:webHidden/>
          </w:rPr>
          <w:fldChar w:fldCharType="end"/>
        </w:r>
      </w:hyperlink>
    </w:p>
    <w:p w14:paraId="79C07A13" w14:textId="28825EF6" w:rsidR="00BF1301" w:rsidRDefault="00B14886">
      <w:pPr>
        <w:pStyle w:val="Spistreci3"/>
        <w:tabs>
          <w:tab w:val="right" w:leader="dot" w:pos="9396"/>
        </w:tabs>
        <w:rPr>
          <w:rFonts w:eastAsiaTheme="minorEastAsia" w:cstheme="minorBidi"/>
          <w:noProof/>
          <w:sz w:val="22"/>
          <w:szCs w:val="22"/>
        </w:rPr>
      </w:pPr>
      <w:hyperlink w:anchor="_Toc235079747" w:history="1">
        <w:r w:rsidR="00BF1301" w:rsidRPr="004E5027">
          <w:rPr>
            <w:rStyle w:val="Hipercze"/>
            <w:rFonts w:ascii="Calibri" w:hAnsi="Calibri"/>
            <w:noProof/>
          </w:rPr>
          <w:t>Działanie FESL.01.07 Klastry</w:t>
        </w:r>
        <w:r w:rsidR="00BF1301">
          <w:rPr>
            <w:noProof/>
            <w:webHidden/>
          </w:rPr>
          <w:tab/>
        </w:r>
        <w:r w:rsidR="00BF1301">
          <w:rPr>
            <w:noProof/>
            <w:webHidden/>
          </w:rPr>
          <w:fldChar w:fldCharType="begin"/>
        </w:r>
        <w:r w:rsidR="00BF1301">
          <w:rPr>
            <w:noProof/>
            <w:webHidden/>
          </w:rPr>
          <w:instrText xml:space="preserve"> PAGEREF _Toc235079747 \h </w:instrText>
        </w:r>
        <w:r w:rsidR="00BF1301">
          <w:rPr>
            <w:noProof/>
            <w:webHidden/>
          </w:rPr>
        </w:r>
        <w:r w:rsidR="00BF1301">
          <w:rPr>
            <w:noProof/>
            <w:webHidden/>
          </w:rPr>
          <w:fldChar w:fldCharType="separate"/>
        </w:r>
        <w:r w:rsidR="00D60E21">
          <w:rPr>
            <w:noProof/>
            <w:webHidden/>
          </w:rPr>
          <w:t>34</w:t>
        </w:r>
        <w:r w:rsidR="00BF1301">
          <w:rPr>
            <w:noProof/>
            <w:webHidden/>
          </w:rPr>
          <w:fldChar w:fldCharType="end"/>
        </w:r>
      </w:hyperlink>
    </w:p>
    <w:p w14:paraId="6818348B" w14:textId="09A07381" w:rsidR="00BF1301" w:rsidRDefault="00B14886">
      <w:pPr>
        <w:pStyle w:val="Spistreci3"/>
        <w:tabs>
          <w:tab w:val="right" w:leader="dot" w:pos="9396"/>
        </w:tabs>
        <w:rPr>
          <w:rFonts w:eastAsiaTheme="minorEastAsia" w:cstheme="minorBidi"/>
          <w:noProof/>
          <w:sz w:val="22"/>
          <w:szCs w:val="22"/>
        </w:rPr>
      </w:pPr>
      <w:hyperlink w:anchor="_Toc235079748" w:history="1">
        <w:r w:rsidR="00BF1301" w:rsidRPr="004E5027">
          <w:rPr>
            <w:rStyle w:val="Hipercze"/>
            <w:rFonts w:ascii="Calibri" w:hAnsi="Calibri"/>
            <w:noProof/>
          </w:rPr>
          <w:t>Działanie FESL.01.08 Innowacje cyfrowe w MŚP</w:t>
        </w:r>
        <w:r w:rsidR="00BF1301">
          <w:rPr>
            <w:noProof/>
            <w:webHidden/>
          </w:rPr>
          <w:tab/>
        </w:r>
        <w:r w:rsidR="00BF1301">
          <w:rPr>
            <w:noProof/>
            <w:webHidden/>
          </w:rPr>
          <w:fldChar w:fldCharType="begin"/>
        </w:r>
        <w:r w:rsidR="00BF1301">
          <w:rPr>
            <w:noProof/>
            <w:webHidden/>
          </w:rPr>
          <w:instrText xml:space="preserve"> PAGEREF _Toc235079748 \h </w:instrText>
        </w:r>
        <w:r w:rsidR="00BF1301">
          <w:rPr>
            <w:noProof/>
            <w:webHidden/>
          </w:rPr>
        </w:r>
        <w:r w:rsidR="00BF1301">
          <w:rPr>
            <w:noProof/>
            <w:webHidden/>
          </w:rPr>
          <w:fldChar w:fldCharType="separate"/>
        </w:r>
        <w:r w:rsidR="00D60E21">
          <w:rPr>
            <w:noProof/>
            <w:webHidden/>
          </w:rPr>
          <w:t>37</w:t>
        </w:r>
        <w:r w:rsidR="00BF1301">
          <w:rPr>
            <w:noProof/>
            <w:webHidden/>
          </w:rPr>
          <w:fldChar w:fldCharType="end"/>
        </w:r>
      </w:hyperlink>
    </w:p>
    <w:p w14:paraId="03A4AC44" w14:textId="06FF1798" w:rsidR="00BF1301" w:rsidRDefault="00B14886">
      <w:pPr>
        <w:pStyle w:val="Spistreci3"/>
        <w:tabs>
          <w:tab w:val="right" w:leader="dot" w:pos="9396"/>
        </w:tabs>
        <w:rPr>
          <w:rFonts w:eastAsiaTheme="minorEastAsia" w:cstheme="minorBidi"/>
          <w:noProof/>
          <w:sz w:val="22"/>
          <w:szCs w:val="22"/>
        </w:rPr>
      </w:pPr>
      <w:hyperlink w:anchor="_Toc235079749" w:history="1">
        <w:r w:rsidR="00BF1301" w:rsidRPr="004E5027">
          <w:rPr>
            <w:rStyle w:val="Hipercze"/>
            <w:rFonts w:ascii="Calibri" w:hAnsi="Calibri"/>
            <w:noProof/>
          </w:rPr>
          <w:t>Działanie FESL.01.09 Konkurencyjność przedsiębiorstw (IF)</w:t>
        </w:r>
        <w:r w:rsidR="00BF1301">
          <w:rPr>
            <w:noProof/>
            <w:webHidden/>
          </w:rPr>
          <w:tab/>
        </w:r>
        <w:r w:rsidR="00BF1301">
          <w:rPr>
            <w:noProof/>
            <w:webHidden/>
          </w:rPr>
          <w:fldChar w:fldCharType="begin"/>
        </w:r>
        <w:r w:rsidR="00BF1301">
          <w:rPr>
            <w:noProof/>
            <w:webHidden/>
          </w:rPr>
          <w:instrText xml:space="preserve"> PAGEREF _Toc235079749 \h </w:instrText>
        </w:r>
        <w:r w:rsidR="00BF1301">
          <w:rPr>
            <w:noProof/>
            <w:webHidden/>
          </w:rPr>
        </w:r>
        <w:r w:rsidR="00BF1301">
          <w:rPr>
            <w:noProof/>
            <w:webHidden/>
          </w:rPr>
          <w:fldChar w:fldCharType="separate"/>
        </w:r>
        <w:r w:rsidR="00D60E21">
          <w:rPr>
            <w:noProof/>
            <w:webHidden/>
          </w:rPr>
          <w:t>41</w:t>
        </w:r>
        <w:r w:rsidR="00BF1301">
          <w:rPr>
            <w:noProof/>
            <w:webHidden/>
          </w:rPr>
          <w:fldChar w:fldCharType="end"/>
        </w:r>
      </w:hyperlink>
    </w:p>
    <w:p w14:paraId="5F71522A" w14:textId="34D87171" w:rsidR="00BF1301" w:rsidRDefault="00B14886">
      <w:pPr>
        <w:pStyle w:val="Spistreci3"/>
        <w:tabs>
          <w:tab w:val="right" w:leader="dot" w:pos="9396"/>
        </w:tabs>
        <w:rPr>
          <w:rFonts w:eastAsiaTheme="minorEastAsia" w:cstheme="minorBidi"/>
          <w:noProof/>
          <w:sz w:val="22"/>
          <w:szCs w:val="22"/>
        </w:rPr>
      </w:pPr>
      <w:hyperlink w:anchor="_Toc235079750" w:history="1">
        <w:r w:rsidR="00BF1301" w:rsidRPr="004E5027">
          <w:rPr>
            <w:rStyle w:val="Hipercze"/>
            <w:rFonts w:ascii="Calibri" w:hAnsi="Calibri"/>
            <w:noProof/>
          </w:rPr>
          <w:t>Działanie FESL.01.10 Promocja eksportu i internacjonalizacja MŚP</w:t>
        </w:r>
        <w:r w:rsidR="00BF1301">
          <w:rPr>
            <w:noProof/>
            <w:webHidden/>
          </w:rPr>
          <w:tab/>
        </w:r>
        <w:r w:rsidR="00BF1301">
          <w:rPr>
            <w:noProof/>
            <w:webHidden/>
          </w:rPr>
          <w:fldChar w:fldCharType="begin"/>
        </w:r>
        <w:r w:rsidR="00BF1301">
          <w:rPr>
            <w:noProof/>
            <w:webHidden/>
          </w:rPr>
          <w:instrText xml:space="preserve"> PAGEREF _Toc235079750 \h </w:instrText>
        </w:r>
        <w:r w:rsidR="00BF1301">
          <w:rPr>
            <w:noProof/>
            <w:webHidden/>
          </w:rPr>
        </w:r>
        <w:r w:rsidR="00BF1301">
          <w:rPr>
            <w:noProof/>
            <w:webHidden/>
          </w:rPr>
          <w:fldChar w:fldCharType="separate"/>
        </w:r>
        <w:r w:rsidR="00D60E21">
          <w:rPr>
            <w:noProof/>
            <w:webHidden/>
          </w:rPr>
          <w:t>44</w:t>
        </w:r>
        <w:r w:rsidR="00BF1301">
          <w:rPr>
            <w:noProof/>
            <w:webHidden/>
          </w:rPr>
          <w:fldChar w:fldCharType="end"/>
        </w:r>
      </w:hyperlink>
    </w:p>
    <w:p w14:paraId="196A0E92" w14:textId="7936B2B0" w:rsidR="00BF1301" w:rsidRDefault="00B14886">
      <w:pPr>
        <w:pStyle w:val="Spistreci2"/>
        <w:tabs>
          <w:tab w:val="right" w:leader="dot" w:pos="9396"/>
        </w:tabs>
        <w:rPr>
          <w:rFonts w:eastAsiaTheme="minorEastAsia" w:cstheme="minorBidi"/>
          <w:noProof/>
          <w:sz w:val="22"/>
          <w:szCs w:val="22"/>
        </w:rPr>
      </w:pPr>
      <w:hyperlink w:anchor="_Toc235079751" w:history="1">
        <w:r w:rsidR="00BF1301" w:rsidRPr="004E5027">
          <w:rPr>
            <w:rStyle w:val="Hipercze"/>
            <w:rFonts w:ascii="Calibri" w:hAnsi="Calibri"/>
            <w:noProof/>
          </w:rPr>
          <w:t>Priorytet FESL.02 Fundusze Europejskie na zielony rozwój</w:t>
        </w:r>
        <w:r w:rsidR="00BF1301">
          <w:rPr>
            <w:noProof/>
            <w:webHidden/>
          </w:rPr>
          <w:tab/>
        </w:r>
        <w:r w:rsidR="00BF1301">
          <w:rPr>
            <w:noProof/>
            <w:webHidden/>
          </w:rPr>
          <w:fldChar w:fldCharType="begin"/>
        </w:r>
        <w:r w:rsidR="00BF1301">
          <w:rPr>
            <w:noProof/>
            <w:webHidden/>
          </w:rPr>
          <w:instrText xml:space="preserve"> PAGEREF _Toc235079751 \h </w:instrText>
        </w:r>
        <w:r w:rsidR="00BF1301">
          <w:rPr>
            <w:noProof/>
            <w:webHidden/>
          </w:rPr>
        </w:r>
        <w:r w:rsidR="00BF1301">
          <w:rPr>
            <w:noProof/>
            <w:webHidden/>
          </w:rPr>
          <w:fldChar w:fldCharType="separate"/>
        </w:r>
        <w:r w:rsidR="00D60E21">
          <w:rPr>
            <w:noProof/>
            <w:webHidden/>
          </w:rPr>
          <w:t>46</w:t>
        </w:r>
        <w:r w:rsidR="00BF1301">
          <w:rPr>
            <w:noProof/>
            <w:webHidden/>
          </w:rPr>
          <w:fldChar w:fldCharType="end"/>
        </w:r>
      </w:hyperlink>
    </w:p>
    <w:p w14:paraId="14BDAD71" w14:textId="2D6BC846" w:rsidR="00BF1301" w:rsidRDefault="00B14886">
      <w:pPr>
        <w:pStyle w:val="Spistreci3"/>
        <w:tabs>
          <w:tab w:val="right" w:leader="dot" w:pos="9396"/>
        </w:tabs>
        <w:rPr>
          <w:rFonts w:eastAsiaTheme="minorEastAsia" w:cstheme="minorBidi"/>
          <w:noProof/>
          <w:sz w:val="22"/>
          <w:szCs w:val="22"/>
        </w:rPr>
      </w:pPr>
      <w:hyperlink w:anchor="_Toc235079752" w:history="1">
        <w:r w:rsidR="00BF1301" w:rsidRPr="004E5027">
          <w:rPr>
            <w:rStyle w:val="Hipercze"/>
            <w:rFonts w:ascii="Calibri" w:hAnsi="Calibri"/>
            <w:noProof/>
          </w:rPr>
          <w:t>Działanie FESL.02.01 Efektywność energetyczna budynków użyteczności publicznej</w:t>
        </w:r>
        <w:r w:rsidR="00BF1301">
          <w:rPr>
            <w:noProof/>
            <w:webHidden/>
          </w:rPr>
          <w:tab/>
        </w:r>
        <w:r w:rsidR="00BF1301">
          <w:rPr>
            <w:noProof/>
            <w:webHidden/>
          </w:rPr>
          <w:fldChar w:fldCharType="begin"/>
        </w:r>
        <w:r w:rsidR="00BF1301">
          <w:rPr>
            <w:noProof/>
            <w:webHidden/>
          </w:rPr>
          <w:instrText xml:space="preserve"> PAGEREF _Toc235079752 \h </w:instrText>
        </w:r>
        <w:r w:rsidR="00BF1301">
          <w:rPr>
            <w:noProof/>
            <w:webHidden/>
          </w:rPr>
        </w:r>
        <w:r w:rsidR="00BF1301">
          <w:rPr>
            <w:noProof/>
            <w:webHidden/>
          </w:rPr>
          <w:fldChar w:fldCharType="separate"/>
        </w:r>
        <w:r w:rsidR="00D60E21">
          <w:rPr>
            <w:noProof/>
            <w:webHidden/>
          </w:rPr>
          <w:t>47</w:t>
        </w:r>
        <w:r w:rsidR="00BF1301">
          <w:rPr>
            <w:noProof/>
            <w:webHidden/>
          </w:rPr>
          <w:fldChar w:fldCharType="end"/>
        </w:r>
      </w:hyperlink>
    </w:p>
    <w:p w14:paraId="4BB37695" w14:textId="5A6E1226" w:rsidR="00BF1301" w:rsidRDefault="00B14886">
      <w:pPr>
        <w:pStyle w:val="Spistreci3"/>
        <w:tabs>
          <w:tab w:val="right" w:leader="dot" w:pos="9396"/>
        </w:tabs>
        <w:rPr>
          <w:rFonts w:eastAsiaTheme="minorEastAsia" w:cstheme="minorBidi"/>
          <w:noProof/>
          <w:sz w:val="22"/>
          <w:szCs w:val="22"/>
        </w:rPr>
      </w:pPr>
      <w:hyperlink w:anchor="_Toc235079753" w:history="1">
        <w:r w:rsidR="00BF1301" w:rsidRPr="004E5027">
          <w:rPr>
            <w:rStyle w:val="Hipercze"/>
            <w:rFonts w:ascii="Calibri" w:hAnsi="Calibri"/>
            <w:noProof/>
          </w:rPr>
          <w:t>Działanie FESL.02.02 Efektywność energetyczna budynków użyteczności publicznej – ZIT</w:t>
        </w:r>
        <w:r w:rsidR="00BF1301">
          <w:rPr>
            <w:noProof/>
            <w:webHidden/>
          </w:rPr>
          <w:tab/>
        </w:r>
        <w:r w:rsidR="00BF1301">
          <w:rPr>
            <w:noProof/>
            <w:webHidden/>
          </w:rPr>
          <w:fldChar w:fldCharType="begin"/>
        </w:r>
        <w:r w:rsidR="00BF1301">
          <w:rPr>
            <w:noProof/>
            <w:webHidden/>
          </w:rPr>
          <w:instrText xml:space="preserve"> PAGEREF _Toc235079753 \h </w:instrText>
        </w:r>
        <w:r w:rsidR="00BF1301">
          <w:rPr>
            <w:noProof/>
            <w:webHidden/>
          </w:rPr>
        </w:r>
        <w:r w:rsidR="00BF1301">
          <w:rPr>
            <w:noProof/>
            <w:webHidden/>
          </w:rPr>
          <w:fldChar w:fldCharType="separate"/>
        </w:r>
        <w:r w:rsidR="00D60E21">
          <w:rPr>
            <w:noProof/>
            <w:webHidden/>
          </w:rPr>
          <w:t>54</w:t>
        </w:r>
        <w:r w:rsidR="00BF1301">
          <w:rPr>
            <w:noProof/>
            <w:webHidden/>
          </w:rPr>
          <w:fldChar w:fldCharType="end"/>
        </w:r>
      </w:hyperlink>
    </w:p>
    <w:p w14:paraId="3ED90440" w14:textId="629C13B9" w:rsidR="00BF1301" w:rsidRDefault="00B14886">
      <w:pPr>
        <w:pStyle w:val="Spistreci3"/>
        <w:tabs>
          <w:tab w:val="right" w:leader="dot" w:pos="9396"/>
        </w:tabs>
        <w:rPr>
          <w:rFonts w:eastAsiaTheme="minorEastAsia" w:cstheme="minorBidi"/>
          <w:noProof/>
          <w:sz w:val="22"/>
          <w:szCs w:val="22"/>
        </w:rPr>
      </w:pPr>
      <w:hyperlink w:anchor="_Toc235079754" w:history="1">
        <w:r w:rsidR="00BF1301" w:rsidRPr="004E5027">
          <w:rPr>
            <w:rStyle w:val="Hipercze"/>
            <w:rFonts w:ascii="Calibri" w:hAnsi="Calibri"/>
            <w:noProof/>
          </w:rPr>
          <w:t>Działanie FESL.02.03 Efektywność energetyczna budynków mieszkalnych</w:t>
        </w:r>
        <w:r w:rsidR="00BF1301">
          <w:rPr>
            <w:noProof/>
            <w:webHidden/>
          </w:rPr>
          <w:tab/>
        </w:r>
        <w:r w:rsidR="00BF1301">
          <w:rPr>
            <w:noProof/>
            <w:webHidden/>
          </w:rPr>
          <w:fldChar w:fldCharType="begin"/>
        </w:r>
        <w:r w:rsidR="00BF1301">
          <w:rPr>
            <w:noProof/>
            <w:webHidden/>
          </w:rPr>
          <w:instrText xml:space="preserve"> PAGEREF _Toc235079754 \h </w:instrText>
        </w:r>
        <w:r w:rsidR="00BF1301">
          <w:rPr>
            <w:noProof/>
            <w:webHidden/>
          </w:rPr>
        </w:r>
        <w:r w:rsidR="00BF1301">
          <w:rPr>
            <w:noProof/>
            <w:webHidden/>
          </w:rPr>
          <w:fldChar w:fldCharType="separate"/>
        </w:r>
        <w:r w:rsidR="00D60E21">
          <w:rPr>
            <w:noProof/>
            <w:webHidden/>
          </w:rPr>
          <w:t>61</w:t>
        </w:r>
        <w:r w:rsidR="00BF1301">
          <w:rPr>
            <w:noProof/>
            <w:webHidden/>
          </w:rPr>
          <w:fldChar w:fldCharType="end"/>
        </w:r>
      </w:hyperlink>
    </w:p>
    <w:p w14:paraId="2684E817" w14:textId="575754AB" w:rsidR="00BF1301" w:rsidRDefault="00B14886">
      <w:pPr>
        <w:pStyle w:val="Spistreci3"/>
        <w:tabs>
          <w:tab w:val="right" w:leader="dot" w:pos="9396"/>
        </w:tabs>
        <w:rPr>
          <w:rFonts w:eastAsiaTheme="minorEastAsia" w:cstheme="minorBidi"/>
          <w:noProof/>
          <w:sz w:val="22"/>
          <w:szCs w:val="22"/>
        </w:rPr>
      </w:pPr>
      <w:hyperlink w:anchor="_Toc235079755" w:history="1">
        <w:r w:rsidR="00BF1301" w:rsidRPr="004E5027">
          <w:rPr>
            <w:rStyle w:val="Hipercze"/>
            <w:rFonts w:ascii="Calibri" w:hAnsi="Calibri"/>
            <w:noProof/>
          </w:rPr>
          <w:t>Działanie FESL.02.04 Efektywność energetyczna budynków mieszkalnych – ZIT</w:t>
        </w:r>
        <w:r w:rsidR="00BF1301">
          <w:rPr>
            <w:noProof/>
            <w:webHidden/>
          </w:rPr>
          <w:tab/>
        </w:r>
        <w:r w:rsidR="00BF1301">
          <w:rPr>
            <w:noProof/>
            <w:webHidden/>
          </w:rPr>
          <w:fldChar w:fldCharType="begin"/>
        </w:r>
        <w:r w:rsidR="00BF1301">
          <w:rPr>
            <w:noProof/>
            <w:webHidden/>
          </w:rPr>
          <w:instrText xml:space="preserve"> PAGEREF _Toc235079755 \h </w:instrText>
        </w:r>
        <w:r w:rsidR="00BF1301">
          <w:rPr>
            <w:noProof/>
            <w:webHidden/>
          </w:rPr>
        </w:r>
        <w:r w:rsidR="00BF1301">
          <w:rPr>
            <w:noProof/>
            <w:webHidden/>
          </w:rPr>
          <w:fldChar w:fldCharType="separate"/>
        </w:r>
        <w:r w:rsidR="00D60E21">
          <w:rPr>
            <w:noProof/>
            <w:webHidden/>
          </w:rPr>
          <w:t>68</w:t>
        </w:r>
        <w:r w:rsidR="00BF1301">
          <w:rPr>
            <w:noProof/>
            <w:webHidden/>
          </w:rPr>
          <w:fldChar w:fldCharType="end"/>
        </w:r>
      </w:hyperlink>
    </w:p>
    <w:p w14:paraId="53C86FDA" w14:textId="6AA1CAE7" w:rsidR="00BF1301" w:rsidRDefault="00B14886">
      <w:pPr>
        <w:pStyle w:val="Spistreci3"/>
        <w:tabs>
          <w:tab w:val="right" w:leader="dot" w:pos="9396"/>
        </w:tabs>
        <w:rPr>
          <w:rFonts w:eastAsiaTheme="minorEastAsia" w:cstheme="minorBidi"/>
          <w:noProof/>
          <w:sz w:val="22"/>
          <w:szCs w:val="22"/>
        </w:rPr>
      </w:pPr>
      <w:hyperlink w:anchor="_Toc235079756" w:history="1">
        <w:r w:rsidR="00BF1301" w:rsidRPr="004E5027">
          <w:rPr>
            <w:rStyle w:val="Hipercze"/>
            <w:rFonts w:ascii="Calibri" w:hAnsi="Calibri"/>
            <w:noProof/>
          </w:rPr>
          <w:t>Działanie FESL.02.05 Efektywność energetyczna budynków użyteczności publicznej, mieszkalnych i przedsiębiorstw (IF)</w:t>
        </w:r>
        <w:r w:rsidR="00BF1301">
          <w:rPr>
            <w:noProof/>
            <w:webHidden/>
          </w:rPr>
          <w:tab/>
        </w:r>
        <w:r w:rsidR="00BF1301">
          <w:rPr>
            <w:noProof/>
            <w:webHidden/>
          </w:rPr>
          <w:fldChar w:fldCharType="begin"/>
        </w:r>
        <w:r w:rsidR="00BF1301">
          <w:rPr>
            <w:noProof/>
            <w:webHidden/>
          </w:rPr>
          <w:instrText xml:space="preserve"> PAGEREF _Toc235079756 \h </w:instrText>
        </w:r>
        <w:r w:rsidR="00BF1301">
          <w:rPr>
            <w:noProof/>
            <w:webHidden/>
          </w:rPr>
        </w:r>
        <w:r w:rsidR="00BF1301">
          <w:rPr>
            <w:noProof/>
            <w:webHidden/>
          </w:rPr>
          <w:fldChar w:fldCharType="separate"/>
        </w:r>
        <w:r w:rsidR="00D60E21">
          <w:rPr>
            <w:noProof/>
            <w:webHidden/>
          </w:rPr>
          <w:t>75</w:t>
        </w:r>
        <w:r w:rsidR="00BF1301">
          <w:rPr>
            <w:noProof/>
            <w:webHidden/>
          </w:rPr>
          <w:fldChar w:fldCharType="end"/>
        </w:r>
      </w:hyperlink>
    </w:p>
    <w:p w14:paraId="4B77F28F" w14:textId="6B18B82B" w:rsidR="00BF1301" w:rsidRDefault="00B14886">
      <w:pPr>
        <w:pStyle w:val="Spistreci3"/>
        <w:tabs>
          <w:tab w:val="right" w:leader="dot" w:pos="9396"/>
        </w:tabs>
        <w:rPr>
          <w:rFonts w:eastAsiaTheme="minorEastAsia" w:cstheme="minorBidi"/>
          <w:noProof/>
          <w:sz w:val="22"/>
          <w:szCs w:val="22"/>
        </w:rPr>
      </w:pPr>
      <w:hyperlink w:anchor="_Toc235079757" w:history="1">
        <w:r w:rsidR="00BF1301" w:rsidRPr="004E5027">
          <w:rPr>
            <w:rStyle w:val="Hipercze"/>
            <w:rFonts w:ascii="Calibri" w:hAnsi="Calibri"/>
            <w:noProof/>
          </w:rPr>
          <w:t>Działanie FESL.02.06 Odnawialne źródła energii</w:t>
        </w:r>
        <w:r w:rsidR="00BF1301">
          <w:rPr>
            <w:noProof/>
            <w:webHidden/>
          </w:rPr>
          <w:tab/>
        </w:r>
        <w:r w:rsidR="00BF1301">
          <w:rPr>
            <w:noProof/>
            <w:webHidden/>
          </w:rPr>
          <w:fldChar w:fldCharType="begin"/>
        </w:r>
        <w:r w:rsidR="00BF1301">
          <w:rPr>
            <w:noProof/>
            <w:webHidden/>
          </w:rPr>
          <w:instrText xml:space="preserve"> PAGEREF _Toc235079757 \h </w:instrText>
        </w:r>
        <w:r w:rsidR="00BF1301">
          <w:rPr>
            <w:noProof/>
            <w:webHidden/>
          </w:rPr>
        </w:r>
        <w:r w:rsidR="00BF1301">
          <w:rPr>
            <w:noProof/>
            <w:webHidden/>
          </w:rPr>
          <w:fldChar w:fldCharType="separate"/>
        </w:r>
        <w:r w:rsidR="00D60E21">
          <w:rPr>
            <w:noProof/>
            <w:webHidden/>
          </w:rPr>
          <w:t>80</w:t>
        </w:r>
        <w:r w:rsidR="00BF1301">
          <w:rPr>
            <w:noProof/>
            <w:webHidden/>
          </w:rPr>
          <w:fldChar w:fldCharType="end"/>
        </w:r>
      </w:hyperlink>
    </w:p>
    <w:p w14:paraId="53A13529" w14:textId="6FEFF018" w:rsidR="00BF1301" w:rsidRDefault="00B14886">
      <w:pPr>
        <w:pStyle w:val="Spistreci3"/>
        <w:tabs>
          <w:tab w:val="right" w:leader="dot" w:pos="9396"/>
        </w:tabs>
        <w:rPr>
          <w:rFonts w:eastAsiaTheme="minorEastAsia" w:cstheme="minorBidi"/>
          <w:noProof/>
          <w:sz w:val="22"/>
          <w:szCs w:val="22"/>
        </w:rPr>
      </w:pPr>
      <w:hyperlink w:anchor="_Toc235079758" w:history="1">
        <w:r w:rsidR="00BF1301" w:rsidRPr="004E5027">
          <w:rPr>
            <w:rStyle w:val="Hipercze"/>
            <w:rFonts w:ascii="Calibri" w:hAnsi="Calibri"/>
            <w:noProof/>
          </w:rPr>
          <w:t>Działanie FESL.02.07 Odnawialne źródła energii (IF)</w:t>
        </w:r>
        <w:r w:rsidR="00BF1301">
          <w:rPr>
            <w:noProof/>
            <w:webHidden/>
          </w:rPr>
          <w:tab/>
        </w:r>
        <w:r w:rsidR="00BF1301">
          <w:rPr>
            <w:noProof/>
            <w:webHidden/>
          </w:rPr>
          <w:fldChar w:fldCharType="begin"/>
        </w:r>
        <w:r w:rsidR="00BF1301">
          <w:rPr>
            <w:noProof/>
            <w:webHidden/>
          </w:rPr>
          <w:instrText xml:space="preserve"> PAGEREF _Toc235079758 \h </w:instrText>
        </w:r>
        <w:r w:rsidR="00BF1301">
          <w:rPr>
            <w:noProof/>
            <w:webHidden/>
          </w:rPr>
        </w:r>
        <w:r w:rsidR="00BF1301">
          <w:rPr>
            <w:noProof/>
            <w:webHidden/>
          </w:rPr>
          <w:fldChar w:fldCharType="separate"/>
        </w:r>
        <w:r w:rsidR="00D60E21">
          <w:rPr>
            <w:noProof/>
            <w:webHidden/>
          </w:rPr>
          <w:t>87</w:t>
        </w:r>
        <w:r w:rsidR="00BF1301">
          <w:rPr>
            <w:noProof/>
            <w:webHidden/>
          </w:rPr>
          <w:fldChar w:fldCharType="end"/>
        </w:r>
      </w:hyperlink>
    </w:p>
    <w:p w14:paraId="6A813E3C" w14:textId="79E5AAE5" w:rsidR="00BF1301" w:rsidRDefault="00B14886">
      <w:pPr>
        <w:pStyle w:val="Spistreci3"/>
        <w:tabs>
          <w:tab w:val="right" w:leader="dot" w:pos="9396"/>
        </w:tabs>
        <w:rPr>
          <w:rFonts w:eastAsiaTheme="minorEastAsia" w:cstheme="minorBidi"/>
          <w:noProof/>
          <w:sz w:val="22"/>
          <w:szCs w:val="22"/>
        </w:rPr>
      </w:pPr>
      <w:hyperlink w:anchor="_Toc235079759" w:history="1">
        <w:r w:rsidR="00BF1301" w:rsidRPr="004E5027">
          <w:rPr>
            <w:rStyle w:val="Hipercze"/>
            <w:rFonts w:ascii="Calibri" w:hAnsi="Calibri"/>
            <w:noProof/>
          </w:rPr>
          <w:t>Działanie FESL.02.08 Wsparcie dla klimatu</w:t>
        </w:r>
        <w:r w:rsidR="00BF1301">
          <w:rPr>
            <w:noProof/>
            <w:webHidden/>
          </w:rPr>
          <w:tab/>
        </w:r>
        <w:r w:rsidR="00BF1301">
          <w:rPr>
            <w:noProof/>
            <w:webHidden/>
          </w:rPr>
          <w:fldChar w:fldCharType="begin"/>
        </w:r>
        <w:r w:rsidR="00BF1301">
          <w:rPr>
            <w:noProof/>
            <w:webHidden/>
          </w:rPr>
          <w:instrText xml:space="preserve"> PAGEREF _Toc235079759 \h </w:instrText>
        </w:r>
        <w:r w:rsidR="00BF1301">
          <w:rPr>
            <w:noProof/>
            <w:webHidden/>
          </w:rPr>
        </w:r>
        <w:r w:rsidR="00BF1301">
          <w:rPr>
            <w:noProof/>
            <w:webHidden/>
          </w:rPr>
          <w:fldChar w:fldCharType="separate"/>
        </w:r>
        <w:r w:rsidR="00D60E21">
          <w:rPr>
            <w:noProof/>
            <w:webHidden/>
          </w:rPr>
          <w:t>91</w:t>
        </w:r>
        <w:r w:rsidR="00BF1301">
          <w:rPr>
            <w:noProof/>
            <w:webHidden/>
          </w:rPr>
          <w:fldChar w:fldCharType="end"/>
        </w:r>
      </w:hyperlink>
    </w:p>
    <w:p w14:paraId="7B3D638D" w14:textId="1B23FBA5" w:rsidR="00BF1301" w:rsidRDefault="00B14886">
      <w:pPr>
        <w:pStyle w:val="Spistreci3"/>
        <w:tabs>
          <w:tab w:val="right" w:leader="dot" w:pos="9396"/>
        </w:tabs>
        <w:rPr>
          <w:rFonts w:eastAsiaTheme="minorEastAsia" w:cstheme="minorBidi"/>
          <w:noProof/>
          <w:sz w:val="22"/>
          <w:szCs w:val="22"/>
        </w:rPr>
      </w:pPr>
      <w:hyperlink w:anchor="_Toc235079760" w:history="1">
        <w:r w:rsidR="00BF1301" w:rsidRPr="004E5027">
          <w:rPr>
            <w:rStyle w:val="Hipercze"/>
            <w:rFonts w:ascii="Calibri" w:hAnsi="Calibri"/>
            <w:noProof/>
          </w:rPr>
          <w:t>Działanie FESL.02.09 Wsparcie dla klimatu - ZIT</w:t>
        </w:r>
        <w:r w:rsidR="00BF1301">
          <w:rPr>
            <w:noProof/>
            <w:webHidden/>
          </w:rPr>
          <w:tab/>
        </w:r>
        <w:r w:rsidR="00BF1301">
          <w:rPr>
            <w:noProof/>
            <w:webHidden/>
          </w:rPr>
          <w:fldChar w:fldCharType="begin"/>
        </w:r>
        <w:r w:rsidR="00BF1301">
          <w:rPr>
            <w:noProof/>
            <w:webHidden/>
          </w:rPr>
          <w:instrText xml:space="preserve"> PAGEREF _Toc235079760 \h </w:instrText>
        </w:r>
        <w:r w:rsidR="00BF1301">
          <w:rPr>
            <w:noProof/>
            <w:webHidden/>
          </w:rPr>
        </w:r>
        <w:r w:rsidR="00BF1301">
          <w:rPr>
            <w:noProof/>
            <w:webHidden/>
          </w:rPr>
          <w:fldChar w:fldCharType="separate"/>
        </w:r>
        <w:r w:rsidR="00D60E21">
          <w:rPr>
            <w:noProof/>
            <w:webHidden/>
          </w:rPr>
          <w:t>97</w:t>
        </w:r>
        <w:r w:rsidR="00BF1301">
          <w:rPr>
            <w:noProof/>
            <w:webHidden/>
          </w:rPr>
          <w:fldChar w:fldCharType="end"/>
        </w:r>
      </w:hyperlink>
    </w:p>
    <w:p w14:paraId="7D211DAB" w14:textId="2D18E806" w:rsidR="00BF1301" w:rsidRDefault="00B14886">
      <w:pPr>
        <w:pStyle w:val="Spistreci3"/>
        <w:tabs>
          <w:tab w:val="right" w:leader="dot" w:pos="9396"/>
        </w:tabs>
        <w:rPr>
          <w:rFonts w:eastAsiaTheme="minorEastAsia" w:cstheme="minorBidi"/>
          <w:noProof/>
          <w:sz w:val="22"/>
          <w:szCs w:val="22"/>
        </w:rPr>
      </w:pPr>
      <w:hyperlink w:anchor="_Toc235079761" w:history="1">
        <w:r w:rsidR="00BF1301" w:rsidRPr="004E5027">
          <w:rPr>
            <w:rStyle w:val="Hipercze"/>
            <w:rFonts w:ascii="Calibri" w:hAnsi="Calibri"/>
            <w:noProof/>
          </w:rPr>
          <w:t>Działanie FESL.02.10 Wzmocnienie potencjału służb ratowniczych</w:t>
        </w:r>
        <w:r w:rsidR="00BF1301">
          <w:rPr>
            <w:noProof/>
            <w:webHidden/>
          </w:rPr>
          <w:tab/>
        </w:r>
        <w:r w:rsidR="00BF1301">
          <w:rPr>
            <w:noProof/>
            <w:webHidden/>
          </w:rPr>
          <w:fldChar w:fldCharType="begin"/>
        </w:r>
        <w:r w:rsidR="00BF1301">
          <w:rPr>
            <w:noProof/>
            <w:webHidden/>
          </w:rPr>
          <w:instrText xml:space="preserve"> PAGEREF _Toc235079761 \h </w:instrText>
        </w:r>
        <w:r w:rsidR="00BF1301">
          <w:rPr>
            <w:noProof/>
            <w:webHidden/>
          </w:rPr>
        </w:r>
        <w:r w:rsidR="00BF1301">
          <w:rPr>
            <w:noProof/>
            <w:webHidden/>
          </w:rPr>
          <w:fldChar w:fldCharType="separate"/>
        </w:r>
        <w:r w:rsidR="00D60E21">
          <w:rPr>
            <w:noProof/>
            <w:webHidden/>
          </w:rPr>
          <w:t>103</w:t>
        </w:r>
        <w:r w:rsidR="00BF1301">
          <w:rPr>
            <w:noProof/>
            <w:webHidden/>
          </w:rPr>
          <w:fldChar w:fldCharType="end"/>
        </w:r>
      </w:hyperlink>
    </w:p>
    <w:p w14:paraId="7A7C164A" w14:textId="5B4BD18B" w:rsidR="00BF1301" w:rsidRDefault="00B14886">
      <w:pPr>
        <w:pStyle w:val="Spistreci3"/>
        <w:tabs>
          <w:tab w:val="right" w:leader="dot" w:pos="9396"/>
        </w:tabs>
        <w:rPr>
          <w:rFonts w:eastAsiaTheme="minorEastAsia" w:cstheme="minorBidi"/>
          <w:noProof/>
          <w:sz w:val="22"/>
          <w:szCs w:val="22"/>
        </w:rPr>
      </w:pPr>
      <w:hyperlink w:anchor="_Toc235079762" w:history="1">
        <w:r w:rsidR="00BF1301" w:rsidRPr="004E5027">
          <w:rPr>
            <w:rStyle w:val="Hipercze"/>
            <w:rFonts w:ascii="Calibri" w:hAnsi="Calibri"/>
            <w:noProof/>
          </w:rPr>
          <w:t>Działanie FESL.02.11 Infrastruktura wodno-kanalizacyjna</w:t>
        </w:r>
        <w:r w:rsidR="00BF1301">
          <w:rPr>
            <w:noProof/>
            <w:webHidden/>
          </w:rPr>
          <w:tab/>
        </w:r>
        <w:r w:rsidR="00BF1301">
          <w:rPr>
            <w:noProof/>
            <w:webHidden/>
          </w:rPr>
          <w:fldChar w:fldCharType="begin"/>
        </w:r>
        <w:r w:rsidR="00BF1301">
          <w:rPr>
            <w:noProof/>
            <w:webHidden/>
          </w:rPr>
          <w:instrText xml:space="preserve"> PAGEREF _Toc235079762 \h </w:instrText>
        </w:r>
        <w:r w:rsidR="00BF1301">
          <w:rPr>
            <w:noProof/>
            <w:webHidden/>
          </w:rPr>
        </w:r>
        <w:r w:rsidR="00BF1301">
          <w:rPr>
            <w:noProof/>
            <w:webHidden/>
          </w:rPr>
          <w:fldChar w:fldCharType="separate"/>
        </w:r>
        <w:r w:rsidR="00D60E21">
          <w:rPr>
            <w:noProof/>
            <w:webHidden/>
          </w:rPr>
          <w:t>107</w:t>
        </w:r>
        <w:r w:rsidR="00BF1301">
          <w:rPr>
            <w:noProof/>
            <w:webHidden/>
          </w:rPr>
          <w:fldChar w:fldCharType="end"/>
        </w:r>
      </w:hyperlink>
    </w:p>
    <w:p w14:paraId="057007C0" w14:textId="0CD005FD" w:rsidR="00BF1301" w:rsidRDefault="00B14886">
      <w:pPr>
        <w:pStyle w:val="Spistreci3"/>
        <w:tabs>
          <w:tab w:val="right" w:leader="dot" w:pos="9396"/>
        </w:tabs>
        <w:rPr>
          <w:rFonts w:eastAsiaTheme="minorEastAsia" w:cstheme="minorBidi"/>
          <w:noProof/>
          <w:sz w:val="22"/>
          <w:szCs w:val="22"/>
        </w:rPr>
      </w:pPr>
      <w:hyperlink w:anchor="_Toc235079763" w:history="1">
        <w:r w:rsidR="00BF1301" w:rsidRPr="004E5027">
          <w:rPr>
            <w:rStyle w:val="Hipercze"/>
            <w:rFonts w:ascii="Calibri" w:hAnsi="Calibri"/>
            <w:noProof/>
          </w:rPr>
          <w:t>Działanie FESL.02.12 Gospodarka odpadami komunalnymi</w:t>
        </w:r>
        <w:r w:rsidR="00BF1301">
          <w:rPr>
            <w:noProof/>
            <w:webHidden/>
          </w:rPr>
          <w:tab/>
        </w:r>
        <w:r w:rsidR="00BF1301">
          <w:rPr>
            <w:noProof/>
            <w:webHidden/>
          </w:rPr>
          <w:fldChar w:fldCharType="begin"/>
        </w:r>
        <w:r w:rsidR="00BF1301">
          <w:rPr>
            <w:noProof/>
            <w:webHidden/>
          </w:rPr>
          <w:instrText xml:space="preserve"> PAGEREF _Toc235079763 \h </w:instrText>
        </w:r>
        <w:r w:rsidR="00BF1301">
          <w:rPr>
            <w:noProof/>
            <w:webHidden/>
          </w:rPr>
        </w:r>
        <w:r w:rsidR="00BF1301">
          <w:rPr>
            <w:noProof/>
            <w:webHidden/>
          </w:rPr>
          <w:fldChar w:fldCharType="separate"/>
        </w:r>
        <w:r w:rsidR="00D60E21">
          <w:rPr>
            <w:noProof/>
            <w:webHidden/>
          </w:rPr>
          <w:t>112</w:t>
        </w:r>
        <w:r w:rsidR="00BF1301">
          <w:rPr>
            <w:noProof/>
            <w:webHidden/>
          </w:rPr>
          <w:fldChar w:fldCharType="end"/>
        </w:r>
      </w:hyperlink>
    </w:p>
    <w:p w14:paraId="35E615C3" w14:textId="5C227109" w:rsidR="00BF1301" w:rsidRDefault="00B14886">
      <w:pPr>
        <w:pStyle w:val="Spistreci3"/>
        <w:tabs>
          <w:tab w:val="right" w:leader="dot" w:pos="9396"/>
        </w:tabs>
        <w:rPr>
          <w:rFonts w:eastAsiaTheme="minorEastAsia" w:cstheme="minorBidi"/>
          <w:noProof/>
          <w:sz w:val="22"/>
          <w:szCs w:val="22"/>
        </w:rPr>
      </w:pPr>
      <w:hyperlink w:anchor="_Toc235079764" w:history="1">
        <w:r w:rsidR="00BF1301" w:rsidRPr="004E5027">
          <w:rPr>
            <w:rStyle w:val="Hipercze"/>
            <w:rFonts w:ascii="Calibri" w:hAnsi="Calibri"/>
            <w:noProof/>
          </w:rPr>
          <w:t>Działanie FESL.02.13 Gospodarka o obiegu zamkniętym (IF)</w:t>
        </w:r>
        <w:r w:rsidR="00BF1301">
          <w:rPr>
            <w:noProof/>
            <w:webHidden/>
          </w:rPr>
          <w:tab/>
        </w:r>
        <w:r w:rsidR="00BF1301">
          <w:rPr>
            <w:noProof/>
            <w:webHidden/>
          </w:rPr>
          <w:fldChar w:fldCharType="begin"/>
        </w:r>
        <w:r w:rsidR="00BF1301">
          <w:rPr>
            <w:noProof/>
            <w:webHidden/>
          </w:rPr>
          <w:instrText xml:space="preserve"> PAGEREF _Toc235079764 \h </w:instrText>
        </w:r>
        <w:r w:rsidR="00BF1301">
          <w:rPr>
            <w:noProof/>
            <w:webHidden/>
          </w:rPr>
        </w:r>
        <w:r w:rsidR="00BF1301">
          <w:rPr>
            <w:noProof/>
            <w:webHidden/>
          </w:rPr>
          <w:fldChar w:fldCharType="separate"/>
        </w:r>
        <w:r w:rsidR="00D60E21">
          <w:rPr>
            <w:noProof/>
            <w:webHidden/>
          </w:rPr>
          <w:t>118</w:t>
        </w:r>
        <w:r w:rsidR="00BF1301">
          <w:rPr>
            <w:noProof/>
            <w:webHidden/>
          </w:rPr>
          <w:fldChar w:fldCharType="end"/>
        </w:r>
      </w:hyperlink>
    </w:p>
    <w:p w14:paraId="56DD987B" w14:textId="1ED8BD1F" w:rsidR="00BF1301" w:rsidRDefault="00B14886">
      <w:pPr>
        <w:pStyle w:val="Spistreci3"/>
        <w:tabs>
          <w:tab w:val="right" w:leader="dot" w:pos="9396"/>
        </w:tabs>
        <w:rPr>
          <w:rFonts w:eastAsiaTheme="minorEastAsia" w:cstheme="minorBidi"/>
          <w:noProof/>
          <w:sz w:val="22"/>
          <w:szCs w:val="22"/>
        </w:rPr>
      </w:pPr>
      <w:hyperlink w:anchor="_Toc235079765" w:history="1">
        <w:r w:rsidR="00BF1301" w:rsidRPr="004E5027">
          <w:rPr>
            <w:rStyle w:val="Hipercze"/>
            <w:rFonts w:ascii="Calibri" w:hAnsi="Calibri"/>
            <w:noProof/>
          </w:rPr>
          <w:t>Działanie FESL.02.14 Ochrona przyrody i bioróżnorodność</w:t>
        </w:r>
        <w:r w:rsidR="00BF1301">
          <w:rPr>
            <w:noProof/>
            <w:webHidden/>
          </w:rPr>
          <w:tab/>
        </w:r>
        <w:r w:rsidR="00BF1301">
          <w:rPr>
            <w:noProof/>
            <w:webHidden/>
          </w:rPr>
          <w:fldChar w:fldCharType="begin"/>
        </w:r>
        <w:r w:rsidR="00BF1301">
          <w:rPr>
            <w:noProof/>
            <w:webHidden/>
          </w:rPr>
          <w:instrText xml:space="preserve"> PAGEREF _Toc235079765 \h </w:instrText>
        </w:r>
        <w:r w:rsidR="00BF1301">
          <w:rPr>
            <w:noProof/>
            <w:webHidden/>
          </w:rPr>
        </w:r>
        <w:r w:rsidR="00BF1301">
          <w:rPr>
            <w:noProof/>
            <w:webHidden/>
          </w:rPr>
          <w:fldChar w:fldCharType="separate"/>
        </w:r>
        <w:r w:rsidR="00D60E21">
          <w:rPr>
            <w:noProof/>
            <w:webHidden/>
          </w:rPr>
          <w:t>121</w:t>
        </w:r>
        <w:r w:rsidR="00BF1301">
          <w:rPr>
            <w:noProof/>
            <w:webHidden/>
          </w:rPr>
          <w:fldChar w:fldCharType="end"/>
        </w:r>
      </w:hyperlink>
    </w:p>
    <w:p w14:paraId="0E2F7AD5" w14:textId="448BA6B1" w:rsidR="00BF1301" w:rsidRDefault="00B14886">
      <w:pPr>
        <w:pStyle w:val="Spistreci3"/>
        <w:tabs>
          <w:tab w:val="right" w:leader="dot" w:pos="9396"/>
        </w:tabs>
        <w:rPr>
          <w:rFonts w:eastAsiaTheme="minorEastAsia" w:cstheme="minorBidi"/>
          <w:noProof/>
          <w:sz w:val="22"/>
          <w:szCs w:val="22"/>
        </w:rPr>
      </w:pPr>
      <w:hyperlink w:anchor="_Toc235079766" w:history="1">
        <w:r w:rsidR="00BF1301" w:rsidRPr="004E5027">
          <w:rPr>
            <w:rStyle w:val="Hipercze"/>
            <w:rFonts w:ascii="Calibri" w:hAnsi="Calibri"/>
            <w:noProof/>
          </w:rPr>
          <w:t>Działanie FESL.02.15 Ochrona przyrody i bioróżnorodność - ZIT</w:t>
        </w:r>
        <w:r w:rsidR="00BF1301">
          <w:rPr>
            <w:noProof/>
            <w:webHidden/>
          </w:rPr>
          <w:tab/>
        </w:r>
        <w:r w:rsidR="00BF1301">
          <w:rPr>
            <w:noProof/>
            <w:webHidden/>
          </w:rPr>
          <w:fldChar w:fldCharType="begin"/>
        </w:r>
        <w:r w:rsidR="00BF1301">
          <w:rPr>
            <w:noProof/>
            <w:webHidden/>
          </w:rPr>
          <w:instrText xml:space="preserve"> PAGEREF _Toc235079766 \h </w:instrText>
        </w:r>
        <w:r w:rsidR="00BF1301">
          <w:rPr>
            <w:noProof/>
            <w:webHidden/>
          </w:rPr>
        </w:r>
        <w:r w:rsidR="00BF1301">
          <w:rPr>
            <w:noProof/>
            <w:webHidden/>
          </w:rPr>
          <w:fldChar w:fldCharType="separate"/>
        </w:r>
        <w:r w:rsidR="00D60E21">
          <w:rPr>
            <w:noProof/>
            <w:webHidden/>
          </w:rPr>
          <w:t>126</w:t>
        </w:r>
        <w:r w:rsidR="00BF1301">
          <w:rPr>
            <w:noProof/>
            <w:webHidden/>
          </w:rPr>
          <w:fldChar w:fldCharType="end"/>
        </w:r>
      </w:hyperlink>
    </w:p>
    <w:p w14:paraId="4E87F02E" w14:textId="15047610" w:rsidR="00BF1301" w:rsidRDefault="00B14886">
      <w:pPr>
        <w:pStyle w:val="Spistreci3"/>
        <w:tabs>
          <w:tab w:val="right" w:leader="dot" w:pos="9396"/>
        </w:tabs>
        <w:rPr>
          <w:rFonts w:eastAsiaTheme="minorEastAsia" w:cstheme="minorBidi"/>
          <w:noProof/>
          <w:sz w:val="22"/>
          <w:szCs w:val="22"/>
        </w:rPr>
      </w:pPr>
      <w:hyperlink w:anchor="_Toc235079767" w:history="1">
        <w:r w:rsidR="00BF1301" w:rsidRPr="004E5027">
          <w:rPr>
            <w:rStyle w:val="Hipercze"/>
            <w:rFonts w:ascii="Calibri" w:hAnsi="Calibri"/>
            <w:noProof/>
          </w:rPr>
          <w:t>Działanie FESL.02.16 Rekultywacja terenów zdegradowanych</w:t>
        </w:r>
        <w:r w:rsidR="00BF1301">
          <w:rPr>
            <w:noProof/>
            <w:webHidden/>
          </w:rPr>
          <w:tab/>
        </w:r>
        <w:r w:rsidR="00BF1301">
          <w:rPr>
            <w:noProof/>
            <w:webHidden/>
          </w:rPr>
          <w:fldChar w:fldCharType="begin"/>
        </w:r>
        <w:r w:rsidR="00BF1301">
          <w:rPr>
            <w:noProof/>
            <w:webHidden/>
          </w:rPr>
          <w:instrText xml:space="preserve"> PAGEREF _Toc235079767 \h </w:instrText>
        </w:r>
        <w:r w:rsidR="00BF1301">
          <w:rPr>
            <w:noProof/>
            <w:webHidden/>
          </w:rPr>
        </w:r>
        <w:r w:rsidR="00BF1301">
          <w:rPr>
            <w:noProof/>
            <w:webHidden/>
          </w:rPr>
          <w:fldChar w:fldCharType="separate"/>
        </w:r>
        <w:r w:rsidR="00D60E21">
          <w:rPr>
            <w:noProof/>
            <w:webHidden/>
          </w:rPr>
          <w:t>132</w:t>
        </w:r>
        <w:r w:rsidR="00BF1301">
          <w:rPr>
            <w:noProof/>
            <w:webHidden/>
          </w:rPr>
          <w:fldChar w:fldCharType="end"/>
        </w:r>
      </w:hyperlink>
    </w:p>
    <w:p w14:paraId="5015F465" w14:textId="071033B5" w:rsidR="00BF1301" w:rsidRDefault="00B14886">
      <w:pPr>
        <w:pStyle w:val="Spistreci3"/>
        <w:tabs>
          <w:tab w:val="right" w:leader="dot" w:pos="9396"/>
        </w:tabs>
        <w:rPr>
          <w:rFonts w:eastAsiaTheme="minorEastAsia" w:cstheme="minorBidi"/>
          <w:noProof/>
          <w:sz w:val="22"/>
          <w:szCs w:val="22"/>
        </w:rPr>
      </w:pPr>
      <w:hyperlink w:anchor="_Toc235079768" w:history="1">
        <w:r w:rsidR="00BF1301" w:rsidRPr="004E5027">
          <w:rPr>
            <w:rStyle w:val="Hipercze"/>
            <w:rFonts w:ascii="Calibri" w:hAnsi="Calibri"/>
            <w:noProof/>
          </w:rPr>
          <w:t>Działanie FESL.02.17 Budowanie świadomości na rzecz klimatu</w:t>
        </w:r>
        <w:r w:rsidR="00BF1301">
          <w:rPr>
            <w:noProof/>
            <w:webHidden/>
          </w:rPr>
          <w:tab/>
        </w:r>
        <w:r w:rsidR="00BF1301">
          <w:rPr>
            <w:noProof/>
            <w:webHidden/>
          </w:rPr>
          <w:fldChar w:fldCharType="begin"/>
        </w:r>
        <w:r w:rsidR="00BF1301">
          <w:rPr>
            <w:noProof/>
            <w:webHidden/>
          </w:rPr>
          <w:instrText xml:space="preserve"> PAGEREF _Toc235079768 \h </w:instrText>
        </w:r>
        <w:r w:rsidR="00BF1301">
          <w:rPr>
            <w:noProof/>
            <w:webHidden/>
          </w:rPr>
        </w:r>
        <w:r w:rsidR="00BF1301">
          <w:rPr>
            <w:noProof/>
            <w:webHidden/>
          </w:rPr>
          <w:fldChar w:fldCharType="separate"/>
        </w:r>
        <w:r w:rsidR="00D60E21">
          <w:rPr>
            <w:noProof/>
            <w:webHidden/>
          </w:rPr>
          <w:t>136</w:t>
        </w:r>
        <w:r w:rsidR="00BF1301">
          <w:rPr>
            <w:noProof/>
            <w:webHidden/>
          </w:rPr>
          <w:fldChar w:fldCharType="end"/>
        </w:r>
      </w:hyperlink>
    </w:p>
    <w:p w14:paraId="754D9ECE" w14:textId="71A2CB11" w:rsidR="00BF1301" w:rsidRDefault="00B14886">
      <w:pPr>
        <w:pStyle w:val="Spistreci2"/>
        <w:tabs>
          <w:tab w:val="right" w:leader="dot" w:pos="9396"/>
        </w:tabs>
        <w:rPr>
          <w:rFonts w:eastAsiaTheme="minorEastAsia" w:cstheme="minorBidi"/>
          <w:noProof/>
          <w:sz w:val="22"/>
          <w:szCs w:val="22"/>
        </w:rPr>
      </w:pPr>
      <w:hyperlink w:anchor="_Toc235079769" w:history="1">
        <w:r w:rsidR="00BF1301" w:rsidRPr="004E5027">
          <w:rPr>
            <w:rStyle w:val="Hipercze"/>
            <w:rFonts w:ascii="Calibri" w:hAnsi="Calibri"/>
            <w:noProof/>
          </w:rPr>
          <w:t>Priorytet FESL.03 Fundusze Europejskie dla zrównoważonej mobilności</w:t>
        </w:r>
        <w:r w:rsidR="00BF1301">
          <w:rPr>
            <w:noProof/>
            <w:webHidden/>
          </w:rPr>
          <w:tab/>
        </w:r>
        <w:r w:rsidR="00BF1301">
          <w:rPr>
            <w:noProof/>
            <w:webHidden/>
          </w:rPr>
          <w:fldChar w:fldCharType="begin"/>
        </w:r>
        <w:r w:rsidR="00BF1301">
          <w:rPr>
            <w:noProof/>
            <w:webHidden/>
          </w:rPr>
          <w:instrText xml:space="preserve"> PAGEREF _Toc235079769 \h </w:instrText>
        </w:r>
        <w:r w:rsidR="00BF1301">
          <w:rPr>
            <w:noProof/>
            <w:webHidden/>
          </w:rPr>
        </w:r>
        <w:r w:rsidR="00BF1301">
          <w:rPr>
            <w:noProof/>
            <w:webHidden/>
          </w:rPr>
          <w:fldChar w:fldCharType="separate"/>
        </w:r>
        <w:r w:rsidR="00D60E21">
          <w:rPr>
            <w:noProof/>
            <w:webHidden/>
          </w:rPr>
          <w:t>139</w:t>
        </w:r>
        <w:r w:rsidR="00BF1301">
          <w:rPr>
            <w:noProof/>
            <w:webHidden/>
          </w:rPr>
          <w:fldChar w:fldCharType="end"/>
        </w:r>
      </w:hyperlink>
    </w:p>
    <w:p w14:paraId="3DD2360E" w14:textId="1A50EFF9" w:rsidR="00BF1301" w:rsidRDefault="00B14886">
      <w:pPr>
        <w:pStyle w:val="Spistreci3"/>
        <w:tabs>
          <w:tab w:val="right" w:leader="dot" w:pos="9396"/>
        </w:tabs>
        <w:rPr>
          <w:rFonts w:eastAsiaTheme="minorEastAsia" w:cstheme="minorBidi"/>
          <w:noProof/>
          <w:sz w:val="22"/>
          <w:szCs w:val="22"/>
        </w:rPr>
      </w:pPr>
      <w:hyperlink w:anchor="_Toc235079770" w:history="1">
        <w:r w:rsidR="00BF1301" w:rsidRPr="004E5027">
          <w:rPr>
            <w:rStyle w:val="Hipercze"/>
            <w:rFonts w:ascii="Calibri" w:hAnsi="Calibri"/>
            <w:noProof/>
          </w:rPr>
          <w:t>Działanie FESL.03.01 Zakup taboru autobusowego/ trolejbusowego - ZIT</w:t>
        </w:r>
        <w:r w:rsidR="00BF1301">
          <w:rPr>
            <w:noProof/>
            <w:webHidden/>
          </w:rPr>
          <w:tab/>
        </w:r>
        <w:r w:rsidR="00BF1301">
          <w:rPr>
            <w:noProof/>
            <w:webHidden/>
          </w:rPr>
          <w:fldChar w:fldCharType="begin"/>
        </w:r>
        <w:r w:rsidR="00BF1301">
          <w:rPr>
            <w:noProof/>
            <w:webHidden/>
          </w:rPr>
          <w:instrText xml:space="preserve"> PAGEREF _Toc235079770 \h </w:instrText>
        </w:r>
        <w:r w:rsidR="00BF1301">
          <w:rPr>
            <w:noProof/>
            <w:webHidden/>
          </w:rPr>
        </w:r>
        <w:r w:rsidR="00BF1301">
          <w:rPr>
            <w:noProof/>
            <w:webHidden/>
          </w:rPr>
          <w:fldChar w:fldCharType="separate"/>
        </w:r>
        <w:r w:rsidR="00D60E21">
          <w:rPr>
            <w:noProof/>
            <w:webHidden/>
          </w:rPr>
          <w:t>140</w:t>
        </w:r>
        <w:r w:rsidR="00BF1301">
          <w:rPr>
            <w:noProof/>
            <w:webHidden/>
          </w:rPr>
          <w:fldChar w:fldCharType="end"/>
        </w:r>
      </w:hyperlink>
    </w:p>
    <w:p w14:paraId="44707C3F" w14:textId="2647A3EB" w:rsidR="00BF1301" w:rsidRDefault="00B14886">
      <w:pPr>
        <w:pStyle w:val="Spistreci3"/>
        <w:tabs>
          <w:tab w:val="right" w:leader="dot" w:pos="9396"/>
        </w:tabs>
        <w:rPr>
          <w:rFonts w:eastAsiaTheme="minorEastAsia" w:cstheme="minorBidi"/>
          <w:noProof/>
          <w:sz w:val="22"/>
          <w:szCs w:val="22"/>
        </w:rPr>
      </w:pPr>
      <w:hyperlink w:anchor="_Toc235079771" w:history="1">
        <w:r w:rsidR="00BF1301" w:rsidRPr="004E5027">
          <w:rPr>
            <w:rStyle w:val="Hipercze"/>
            <w:rFonts w:ascii="Calibri" w:hAnsi="Calibri"/>
            <w:noProof/>
          </w:rPr>
          <w:t>Działanie FESL.03.02 Zrównoważona multimodalna mobilność miejska - ZIT</w:t>
        </w:r>
        <w:r w:rsidR="00BF1301">
          <w:rPr>
            <w:noProof/>
            <w:webHidden/>
          </w:rPr>
          <w:tab/>
        </w:r>
        <w:r w:rsidR="00BF1301">
          <w:rPr>
            <w:noProof/>
            <w:webHidden/>
          </w:rPr>
          <w:fldChar w:fldCharType="begin"/>
        </w:r>
        <w:r w:rsidR="00BF1301">
          <w:rPr>
            <w:noProof/>
            <w:webHidden/>
          </w:rPr>
          <w:instrText xml:space="preserve"> PAGEREF _Toc235079771 \h </w:instrText>
        </w:r>
        <w:r w:rsidR="00BF1301">
          <w:rPr>
            <w:noProof/>
            <w:webHidden/>
          </w:rPr>
        </w:r>
        <w:r w:rsidR="00BF1301">
          <w:rPr>
            <w:noProof/>
            <w:webHidden/>
          </w:rPr>
          <w:fldChar w:fldCharType="separate"/>
        </w:r>
        <w:r w:rsidR="00D60E21">
          <w:rPr>
            <w:noProof/>
            <w:webHidden/>
          </w:rPr>
          <w:t>146</w:t>
        </w:r>
        <w:r w:rsidR="00BF1301">
          <w:rPr>
            <w:noProof/>
            <w:webHidden/>
          </w:rPr>
          <w:fldChar w:fldCharType="end"/>
        </w:r>
      </w:hyperlink>
    </w:p>
    <w:p w14:paraId="2A5B4977" w14:textId="28546315" w:rsidR="00BF1301" w:rsidRDefault="00B14886">
      <w:pPr>
        <w:pStyle w:val="Spistreci3"/>
        <w:tabs>
          <w:tab w:val="right" w:leader="dot" w:pos="9396"/>
        </w:tabs>
        <w:rPr>
          <w:rFonts w:eastAsiaTheme="minorEastAsia" w:cstheme="minorBidi"/>
          <w:noProof/>
          <w:sz w:val="22"/>
          <w:szCs w:val="22"/>
        </w:rPr>
      </w:pPr>
      <w:hyperlink w:anchor="_Toc235079772" w:history="1">
        <w:r w:rsidR="00BF1301" w:rsidRPr="004E5027">
          <w:rPr>
            <w:rStyle w:val="Hipercze"/>
            <w:rFonts w:ascii="Calibri" w:hAnsi="Calibri"/>
            <w:noProof/>
          </w:rPr>
          <w:t>Działanie FESL.03.03 Regionalne Trasy Rowerowe - ZIT</w:t>
        </w:r>
        <w:r w:rsidR="00BF1301">
          <w:rPr>
            <w:noProof/>
            <w:webHidden/>
          </w:rPr>
          <w:tab/>
        </w:r>
        <w:r w:rsidR="00BF1301">
          <w:rPr>
            <w:noProof/>
            <w:webHidden/>
          </w:rPr>
          <w:fldChar w:fldCharType="begin"/>
        </w:r>
        <w:r w:rsidR="00BF1301">
          <w:rPr>
            <w:noProof/>
            <w:webHidden/>
          </w:rPr>
          <w:instrText xml:space="preserve"> PAGEREF _Toc235079772 \h </w:instrText>
        </w:r>
        <w:r w:rsidR="00BF1301">
          <w:rPr>
            <w:noProof/>
            <w:webHidden/>
          </w:rPr>
        </w:r>
        <w:r w:rsidR="00BF1301">
          <w:rPr>
            <w:noProof/>
            <w:webHidden/>
          </w:rPr>
          <w:fldChar w:fldCharType="separate"/>
        </w:r>
        <w:r w:rsidR="00D60E21">
          <w:rPr>
            <w:noProof/>
            <w:webHidden/>
          </w:rPr>
          <w:t>152</w:t>
        </w:r>
        <w:r w:rsidR="00BF1301">
          <w:rPr>
            <w:noProof/>
            <w:webHidden/>
          </w:rPr>
          <w:fldChar w:fldCharType="end"/>
        </w:r>
      </w:hyperlink>
    </w:p>
    <w:p w14:paraId="0B1E2623" w14:textId="205E3698" w:rsidR="00BF1301" w:rsidRDefault="00B14886">
      <w:pPr>
        <w:pStyle w:val="Spistreci2"/>
        <w:tabs>
          <w:tab w:val="right" w:leader="dot" w:pos="9396"/>
        </w:tabs>
        <w:rPr>
          <w:rFonts w:eastAsiaTheme="minorEastAsia" w:cstheme="minorBidi"/>
          <w:noProof/>
          <w:sz w:val="22"/>
          <w:szCs w:val="22"/>
        </w:rPr>
      </w:pPr>
      <w:hyperlink w:anchor="_Toc235079773" w:history="1">
        <w:r w:rsidR="00BF1301" w:rsidRPr="004E5027">
          <w:rPr>
            <w:rStyle w:val="Hipercze"/>
            <w:rFonts w:ascii="Calibri" w:hAnsi="Calibri"/>
            <w:noProof/>
          </w:rPr>
          <w:t>Priorytet FESL.04 Fundusze Europejskie dla sprawnego transportu</w:t>
        </w:r>
        <w:r w:rsidR="00BF1301">
          <w:rPr>
            <w:noProof/>
            <w:webHidden/>
          </w:rPr>
          <w:tab/>
        </w:r>
        <w:r w:rsidR="00BF1301">
          <w:rPr>
            <w:noProof/>
            <w:webHidden/>
          </w:rPr>
          <w:fldChar w:fldCharType="begin"/>
        </w:r>
        <w:r w:rsidR="00BF1301">
          <w:rPr>
            <w:noProof/>
            <w:webHidden/>
          </w:rPr>
          <w:instrText xml:space="preserve"> PAGEREF _Toc235079773 \h </w:instrText>
        </w:r>
        <w:r w:rsidR="00BF1301">
          <w:rPr>
            <w:noProof/>
            <w:webHidden/>
          </w:rPr>
        </w:r>
        <w:r w:rsidR="00BF1301">
          <w:rPr>
            <w:noProof/>
            <w:webHidden/>
          </w:rPr>
          <w:fldChar w:fldCharType="separate"/>
        </w:r>
        <w:r w:rsidR="00D60E21">
          <w:rPr>
            <w:noProof/>
            <w:webHidden/>
          </w:rPr>
          <w:t>156</w:t>
        </w:r>
        <w:r w:rsidR="00BF1301">
          <w:rPr>
            <w:noProof/>
            <w:webHidden/>
          </w:rPr>
          <w:fldChar w:fldCharType="end"/>
        </w:r>
      </w:hyperlink>
    </w:p>
    <w:p w14:paraId="1EA9C045" w14:textId="7CD7D804" w:rsidR="00BF1301" w:rsidRDefault="00B14886">
      <w:pPr>
        <w:pStyle w:val="Spistreci3"/>
        <w:tabs>
          <w:tab w:val="right" w:leader="dot" w:pos="9396"/>
        </w:tabs>
        <w:rPr>
          <w:rFonts w:eastAsiaTheme="minorEastAsia" w:cstheme="minorBidi"/>
          <w:noProof/>
          <w:sz w:val="22"/>
          <w:szCs w:val="22"/>
        </w:rPr>
      </w:pPr>
      <w:hyperlink w:anchor="_Toc235079774" w:history="1">
        <w:r w:rsidR="00BF1301" w:rsidRPr="004E5027">
          <w:rPr>
            <w:rStyle w:val="Hipercze"/>
            <w:rFonts w:ascii="Calibri" w:hAnsi="Calibri"/>
            <w:noProof/>
          </w:rPr>
          <w:t>Działanie FESL.04.01 Drogi wojewódzkie</w:t>
        </w:r>
        <w:r w:rsidR="00BF1301">
          <w:rPr>
            <w:noProof/>
            <w:webHidden/>
          </w:rPr>
          <w:tab/>
        </w:r>
        <w:r w:rsidR="00BF1301">
          <w:rPr>
            <w:noProof/>
            <w:webHidden/>
          </w:rPr>
          <w:fldChar w:fldCharType="begin"/>
        </w:r>
        <w:r w:rsidR="00BF1301">
          <w:rPr>
            <w:noProof/>
            <w:webHidden/>
          </w:rPr>
          <w:instrText xml:space="preserve"> PAGEREF _Toc235079774 \h </w:instrText>
        </w:r>
        <w:r w:rsidR="00BF1301">
          <w:rPr>
            <w:noProof/>
            <w:webHidden/>
          </w:rPr>
        </w:r>
        <w:r w:rsidR="00BF1301">
          <w:rPr>
            <w:noProof/>
            <w:webHidden/>
          </w:rPr>
          <w:fldChar w:fldCharType="separate"/>
        </w:r>
        <w:r w:rsidR="00D60E21">
          <w:rPr>
            <w:noProof/>
            <w:webHidden/>
          </w:rPr>
          <w:t>157</w:t>
        </w:r>
        <w:r w:rsidR="00BF1301">
          <w:rPr>
            <w:noProof/>
            <w:webHidden/>
          </w:rPr>
          <w:fldChar w:fldCharType="end"/>
        </w:r>
      </w:hyperlink>
    </w:p>
    <w:p w14:paraId="7141C957" w14:textId="7833B470" w:rsidR="00BF1301" w:rsidRDefault="00B14886">
      <w:pPr>
        <w:pStyle w:val="Spistreci3"/>
        <w:tabs>
          <w:tab w:val="right" w:leader="dot" w:pos="9396"/>
        </w:tabs>
        <w:rPr>
          <w:rFonts w:eastAsiaTheme="minorEastAsia" w:cstheme="minorBidi"/>
          <w:noProof/>
          <w:sz w:val="22"/>
          <w:szCs w:val="22"/>
        </w:rPr>
      </w:pPr>
      <w:hyperlink w:anchor="_Toc235079775" w:history="1">
        <w:r w:rsidR="00BF1301" w:rsidRPr="004E5027">
          <w:rPr>
            <w:rStyle w:val="Hipercze"/>
            <w:rFonts w:ascii="Calibri" w:hAnsi="Calibri"/>
            <w:noProof/>
          </w:rPr>
          <w:t>Działanie FESL.04.02 Drogi gminne i powiatowe</w:t>
        </w:r>
        <w:r w:rsidR="00BF1301">
          <w:rPr>
            <w:noProof/>
            <w:webHidden/>
          </w:rPr>
          <w:tab/>
        </w:r>
        <w:r w:rsidR="00BF1301">
          <w:rPr>
            <w:noProof/>
            <w:webHidden/>
          </w:rPr>
          <w:fldChar w:fldCharType="begin"/>
        </w:r>
        <w:r w:rsidR="00BF1301">
          <w:rPr>
            <w:noProof/>
            <w:webHidden/>
          </w:rPr>
          <w:instrText xml:space="preserve"> PAGEREF _Toc235079775 \h </w:instrText>
        </w:r>
        <w:r w:rsidR="00BF1301">
          <w:rPr>
            <w:noProof/>
            <w:webHidden/>
          </w:rPr>
        </w:r>
        <w:r w:rsidR="00BF1301">
          <w:rPr>
            <w:noProof/>
            <w:webHidden/>
          </w:rPr>
          <w:fldChar w:fldCharType="separate"/>
        </w:r>
        <w:r w:rsidR="00D60E21">
          <w:rPr>
            <w:noProof/>
            <w:webHidden/>
          </w:rPr>
          <w:t>161</w:t>
        </w:r>
        <w:r w:rsidR="00BF1301">
          <w:rPr>
            <w:noProof/>
            <w:webHidden/>
          </w:rPr>
          <w:fldChar w:fldCharType="end"/>
        </w:r>
      </w:hyperlink>
    </w:p>
    <w:p w14:paraId="03D60A3E" w14:textId="383003F5" w:rsidR="00BF1301" w:rsidRDefault="00B14886">
      <w:pPr>
        <w:pStyle w:val="Spistreci3"/>
        <w:tabs>
          <w:tab w:val="right" w:leader="dot" w:pos="9396"/>
        </w:tabs>
        <w:rPr>
          <w:rFonts w:eastAsiaTheme="minorEastAsia" w:cstheme="minorBidi"/>
          <w:noProof/>
          <w:sz w:val="22"/>
          <w:szCs w:val="22"/>
        </w:rPr>
      </w:pPr>
      <w:hyperlink w:anchor="_Toc235079776" w:history="1">
        <w:r w:rsidR="00BF1301" w:rsidRPr="004E5027">
          <w:rPr>
            <w:rStyle w:val="Hipercze"/>
            <w:rFonts w:ascii="Calibri" w:hAnsi="Calibri"/>
            <w:noProof/>
          </w:rPr>
          <w:t>Działanie FESL.04.03 Regionalny tabor kolejowy</w:t>
        </w:r>
        <w:r w:rsidR="00BF1301">
          <w:rPr>
            <w:noProof/>
            <w:webHidden/>
          </w:rPr>
          <w:tab/>
        </w:r>
        <w:r w:rsidR="00BF1301">
          <w:rPr>
            <w:noProof/>
            <w:webHidden/>
          </w:rPr>
          <w:fldChar w:fldCharType="begin"/>
        </w:r>
        <w:r w:rsidR="00BF1301">
          <w:rPr>
            <w:noProof/>
            <w:webHidden/>
          </w:rPr>
          <w:instrText xml:space="preserve"> PAGEREF _Toc235079776 \h </w:instrText>
        </w:r>
        <w:r w:rsidR="00BF1301">
          <w:rPr>
            <w:noProof/>
            <w:webHidden/>
          </w:rPr>
        </w:r>
        <w:r w:rsidR="00BF1301">
          <w:rPr>
            <w:noProof/>
            <w:webHidden/>
          </w:rPr>
          <w:fldChar w:fldCharType="separate"/>
        </w:r>
        <w:r w:rsidR="00D60E21">
          <w:rPr>
            <w:noProof/>
            <w:webHidden/>
          </w:rPr>
          <w:t>165</w:t>
        </w:r>
        <w:r w:rsidR="00BF1301">
          <w:rPr>
            <w:noProof/>
            <w:webHidden/>
          </w:rPr>
          <w:fldChar w:fldCharType="end"/>
        </w:r>
      </w:hyperlink>
    </w:p>
    <w:p w14:paraId="455394E9" w14:textId="224FF3F9" w:rsidR="00BF1301" w:rsidRDefault="00B14886">
      <w:pPr>
        <w:pStyle w:val="Spistreci2"/>
        <w:tabs>
          <w:tab w:val="right" w:leader="dot" w:pos="9396"/>
        </w:tabs>
        <w:rPr>
          <w:rFonts w:eastAsiaTheme="minorEastAsia" w:cstheme="minorBidi"/>
          <w:noProof/>
          <w:sz w:val="22"/>
          <w:szCs w:val="22"/>
        </w:rPr>
      </w:pPr>
      <w:hyperlink w:anchor="_Toc235079777" w:history="1">
        <w:r w:rsidR="00BF1301" w:rsidRPr="004E5027">
          <w:rPr>
            <w:rStyle w:val="Hipercze"/>
            <w:rFonts w:ascii="Calibri" w:hAnsi="Calibri"/>
            <w:noProof/>
          </w:rPr>
          <w:t>Priorytet FESL.05 Fundusze Europejskie dla rynku pracy</w:t>
        </w:r>
        <w:r w:rsidR="00BF1301">
          <w:rPr>
            <w:noProof/>
            <w:webHidden/>
          </w:rPr>
          <w:tab/>
        </w:r>
        <w:r w:rsidR="00BF1301">
          <w:rPr>
            <w:noProof/>
            <w:webHidden/>
          </w:rPr>
          <w:fldChar w:fldCharType="begin"/>
        </w:r>
        <w:r w:rsidR="00BF1301">
          <w:rPr>
            <w:noProof/>
            <w:webHidden/>
          </w:rPr>
          <w:instrText xml:space="preserve"> PAGEREF _Toc235079777 \h </w:instrText>
        </w:r>
        <w:r w:rsidR="00BF1301">
          <w:rPr>
            <w:noProof/>
            <w:webHidden/>
          </w:rPr>
        </w:r>
        <w:r w:rsidR="00BF1301">
          <w:rPr>
            <w:noProof/>
            <w:webHidden/>
          </w:rPr>
          <w:fldChar w:fldCharType="separate"/>
        </w:r>
        <w:r w:rsidR="00D60E21">
          <w:rPr>
            <w:noProof/>
            <w:webHidden/>
          </w:rPr>
          <w:t>168</w:t>
        </w:r>
        <w:r w:rsidR="00BF1301">
          <w:rPr>
            <w:noProof/>
            <w:webHidden/>
          </w:rPr>
          <w:fldChar w:fldCharType="end"/>
        </w:r>
      </w:hyperlink>
    </w:p>
    <w:p w14:paraId="328484D0" w14:textId="30811BE4" w:rsidR="00BF1301" w:rsidRDefault="00B14886">
      <w:pPr>
        <w:pStyle w:val="Spistreci3"/>
        <w:tabs>
          <w:tab w:val="right" w:leader="dot" w:pos="9396"/>
        </w:tabs>
        <w:rPr>
          <w:rFonts w:eastAsiaTheme="minorEastAsia" w:cstheme="minorBidi"/>
          <w:noProof/>
          <w:sz w:val="22"/>
          <w:szCs w:val="22"/>
        </w:rPr>
      </w:pPr>
      <w:hyperlink w:anchor="_Toc235079778" w:history="1">
        <w:r w:rsidR="00BF1301" w:rsidRPr="004E5027">
          <w:rPr>
            <w:rStyle w:val="Hipercze"/>
            <w:rFonts w:ascii="Calibri" w:hAnsi="Calibri"/>
            <w:noProof/>
          </w:rPr>
          <w:t>Działanie FESL.05.01 Aktywizacja zawodowa poprzez PUP</w:t>
        </w:r>
        <w:r w:rsidR="00BF1301">
          <w:rPr>
            <w:noProof/>
            <w:webHidden/>
          </w:rPr>
          <w:tab/>
        </w:r>
        <w:r w:rsidR="00BF1301">
          <w:rPr>
            <w:noProof/>
            <w:webHidden/>
          </w:rPr>
          <w:fldChar w:fldCharType="begin"/>
        </w:r>
        <w:r w:rsidR="00BF1301">
          <w:rPr>
            <w:noProof/>
            <w:webHidden/>
          </w:rPr>
          <w:instrText xml:space="preserve"> PAGEREF _Toc235079778 \h </w:instrText>
        </w:r>
        <w:r w:rsidR="00BF1301">
          <w:rPr>
            <w:noProof/>
            <w:webHidden/>
          </w:rPr>
        </w:r>
        <w:r w:rsidR="00BF1301">
          <w:rPr>
            <w:noProof/>
            <w:webHidden/>
          </w:rPr>
          <w:fldChar w:fldCharType="separate"/>
        </w:r>
        <w:r w:rsidR="00D60E21">
          <w:rPr>
            <w:noProof/>
            <w:webHidden/>
          </w:rPr>
          <w:t>169</w:t>
        </w:r>
        <w:r w:rsidR="00BF1301">
          <w:rPr>
            <w:noProof/>
            <w:webHidden/>
          </w:rPr>
          <w:fldChar w:fldCharType="end"/>
        </w:r>
      </w:hyperlink>
    </w:p>
    <w:p w14:paraId="20E7F50F" w14:textId="7CDBC9EF" w:rsidR="00BF1301" w:rsidRDefault="00B14886">
      <w:pPr>
        <w:pStyle w:val="Spistreci3"/>
        <w:tabs>
          <w:tab w:val="right" w:leader="dot" w:pos="9396"/>
        </w:tabs>
        <w:rPr>
          <w:rFonts w:eastAsiaTheme="minorEastAsia" w:cstheme="minorBidi"/>
          <w:noProof/>
          <w:sz w:val="22"/>
          <w:szCs w:val="22"/>
        </w:rPr>
      </w:pPr>
      <w:hyperlink w:anchor="_Toc235079779" w:history="1">
        <w:r w:rsidR="00BF1301" w:rsidRPr="004E5027">
          <w:rPr>
            <w:rStyle w:val="Hipercze"/>
            <w:rFonts w:ascii="Calibri" w:hAnsi="Calibri"/>
            <w:noProof/>
          </w:rPr>
          <w:t>Działanie FESL.05.02 Aktywizacja zawodowa poprzez OHP</w:t>
        </w:r>
        <w:r w:rsidR="00BF1301">
          <w:rPr>
            <w:noProof/>
            <w:webHidden/>
          </w:rPr>
          <w:tab/>
        </w:r>
        <w:r w:rsidR="00BF1301">
          <w:rPr>
            <w:noProof/>
            <w:webHidden/>
          </w:rPr>
          <w:fldChar w:fldCharType="begin"/>
        </w:r>
        <w:r w:rsidR="00BF1301">
          <w:rPr>
            <w:noProof/>
            <w:webHidden/>
          </w:rPr>
          <w:instrText xml:space="preserve"> PAGEREF _Toc235079779 \h </w:instrText>
        </w:r>
        <w:r w:rsidR="00BF1301">
          <w:rPr>
            <w:noProof/>
            <w:webHidden/>
          </w:rPr>
        </w:r>
        <w:r w:rsidR="00BF1301">
          <w:rPr>
            <w:noProof/>
            <w:webHidden/>
          </w:rPr>
          <w:fldChar w:fldCharType="separate"/>
        </w:r>
        <w:r w:rsidR="00D60E21">
          <w:rPr>
            <w:noProof/>
            <w:webHidden/>
          </w:rPr>
          <w:t>172</w:t>
        </w:r>
        <w:r w:rsidR="00BF1301">
          <w:rPr>
            <w:noProof/>
            <w:webHidden/>
          </w:rPr>
          <w:fldChar w:fldCharType="end"/>
        </w:r>
      </w:hyperlink>
    </w:p>
    <w:p w14:paraId="7DB0FD96" w14:textId="7CABE8F6" w:rsidR="00BF1301" w:rsidRDefault="00B14886">
      <w:pPr>
        <w:pStyle w:val="Spistreci3"/>
        <w:tabs>
          <w:tab w:val="right" w:leader="dot" w:pos="9396"/>
        </w:tabs>
        <w:rPr>
          <w:rFonts w:eastAsiaTheme="minorEastAsia" w:cstheme="minorBidi"/>
          <w:noProof/>
          <w:sz w:val="22"/>
          <w:szCs w:val="22"/>
        </w:rPr>
      </w:pPr>
      <w:hyperlink w:anchor="_Toc235079780" w:history="1">
        <w:r w:rsidR="00BF1301" w:rsidRPr="004E5027">
          <w:rPr>
            <w:rStyle w:val="Hipercze"/>
            <w:rFonts w:ascii="Calibri" w:hAnsi="Calibri"/>
            <w:noProof/>
          </w:rPr>
          <w:t>Działanie FESL.05.03 ALMA - staże zagraniczne dla młodych</w:t>
        </w:r>
        <w:r w:rsidR="00BF1301">
          <w:rPr>
            <w:noProof/>
            <w:webHidden/>
          </w:rPr>
          <w:tab/>
        </w:r>
        <w:r w:rsidR="00BF1301">
          <w:rPr>
            <w:noProof/>
            <w:webHidden/>
          </w:rPr>
          <w:fldChar w:fldCharType="begin"/>
        </w:r>
        <w:r w:rsidR="00BF1301">
          <w:rPr>
            <w:noProof/>
            <w:webHidden/>
          </w:rPr>
          <w:instrText xml:space="preserve"> PAGEREF _Toc235079780 \h </w:instrText>
        </w:r>
        <w:r w:rsidR="00BF1301">
          <w:rPr>
            <w:noProof/>
            <w:webHidden/>
          </w:rPr>
        </w:r>
        <w:r w:rsidR="00BF1301">
          <w:rPr>
            <w:noProof/>
            <w:webHidden/>
          </w:rPr>
          <w:fldChar w:fldCharType="separate"/>
        </w:r>
        <w:r w:rsidR="00D60E21">
          <w:rPr>
            <w:noProof/>
            <w:webHidden/>
          </w:rPr>
          <w:t>176</w:t>
        </w:r>
        <w:r w:rsidR="00BF1301">
          <w:rPr>
            <w:noProof/>
            <w:webHidden/>
          </w:rPr>
          <w:fldChar w:fldCharType="end"/>
        </w:r>
      </w:hyperlink>
    </w:p>
    <w:p w14:paraId="09FD6C17" w14:textId="469197C2" w:rsidR="00BF1301" w:rsidRDefault="00B14886">
      <w:pPr>
        <w:pStyle w:val="Spistreci3"/>
        <w:tabs>
          <w:tab w:val="right" w:leader="dot" w:pos="9396"/>
        </w:tabs>
        <w:rPr>
          <w:rFonts w:eastAsiaTheme="minorEastAsia" w:cstheme="minorBidi"/>
          <w:noProof/>
          <w:sz w:val="22"/>
          <w:szCs w:val="22"/>
        </w:rPr>
      </w:pPr>
      <w:hyperlink w:anchor="_Toc235079781" w:history="1">
        <w:r w:rsidR="00BF1301" w:rsidRPr="004E5027">
          <w:rPr>
            <w:rStyle w:val="Hipercze"/>
            <w:rFonts w:ascii="Calibri" w:hAnsi="Calibri"/>
            <w:noProof/>
          </w:rPr>
          <w:t>Działanie FESL.05.04 Aktywizacja zawodowa osób pracujących</w:t>
        </w:r>
        <w:r w:rsidR="00BF1301">
          <w:rPr>
            <w:noProof/>
            <w:webHidden/>
          </w:rPr>
          <w:tab/>
        </w:r>
        <w:r w:rsidR="00BF1301">
          <w:rPr>
            <w:noProof/>
            <w:webHidden/>
          </w:rPr>
          <w:fldChar w:fldCharType="begin"/>
        </w:r>
        <w:r w:rsidR="00BF1301">
          <w:rPr>
            <w:noProof/>
            <w:webHidden/>
          </w:rPr>
          <w:instrText xml:space="preserve"> PAGEREF _Toc235079781 \h </w:instrText>
        </w:r>
        <w:r w:rsidR="00BF1301">
          <w:rPr>
            <w:noProof/>
            <w:webHidden/>
          </w:rPr>
        </w:r>
        <w:r w:rsidR="00BF1301">
          <w:rPr>
            <w:noProof/>
            <w:webHidden/>
          </w:rPr>
          <w:fldChar w:fldCharType="separate"/>
        </w:r>
        <w:r w:rsidR="00D60E21">
          <w:rPr>
            <w:noProof/>
            <w:webHidden/>
          </w:rPr>
          <w:t>183</w:t>
        </w:r>
        <w:r w:rsidR="00BF1301">
          <w:rPr>
            <w:noProof/>
            <w:webHidden/>
          </w:rPr>
          <w:fldChar w:fldCharType="end"/>
        </w:r>
      </w:hyperlink>
    </w:p>
    <w:p w14:paraId="5A2866ED" w14:textId="3E127806" w:rsidR="00BF1301" w:rsidRDefault="00B14886">
      <w:pPr>
        <w:pStyle w:val="Spistreci3"/>
        <w:tabs>
          <w:tab w:val="right" w:leader="dot" w:pos="9396"/>
        </w:tabs>
        <w:rPr>
          <w:rFonts w:eastAsiaTheme="minorEastAsia" w:cstheme="minorBidi"/>
          <w:noProof/>
          <w:sz w:val="22"/>
          <w:szCs w:val="22"/>
        </w:rPr>
      </w:pPr>
      <w:hyperlink w:anchor="_Toc235079782" w:history="1">
        <w:r w:rsidR="00BF1301" w:rsidRPr="004E5027">
          <w:rPr>
            <w:rStyle w:val="Hipercze"/>
            <w:rFonts w:ascii="Calibri" w:hAnsi="Calibri"/>
            <w:noProof/>
          </w:rPr>
          <w:t>Działanie FESL.05.05 Usługi EURES</w:t>
        </w:r>
        <w:r w:rsidR="00BF1301">
          <w:rPr>
            <w:noProof/>
            <w:webHidden/>
          </w:rPr>
          <w:tab/>
        </w:r>
        <w:r w:rsidR="00BF1301">
          <w:rPr>
            <w:noProof/>
            <w:webHidden/>
          </w:rPr>
          <w:fldChar w:fldCharType="begin"/>
        </w:r>
        <w:r w:rsidR="00BF1301">
          <w:rPr>
            <w:noProof/>
            <w:webHidden/>
          </w:rPr>
          <w:instrText xml:space="preserve"> PAGEREF _Toc235079782 \h </w:instrText>
        </w:r>
        <w:r w:rsidR="00BF1301">
          <w:rPr>
            <w:noProof/>
            <w:webHidden/>
          </w:rPr>
        </w:r>
        <w:r w:rsidR="00BF1301">
          <w:rPr>
            <w:noProof/>
            <w:webHidden/>
          </w:rPr>
          <w:fldChar w:fldCharType="separate"/>
        </w:r>
        <w:r w:rsidR="00D60E21">
          <w:rPr>
            <w:noProof/>
            <w:webHidden/>
          </w:rPr>
          <w:t>186</w:t>
        </w:r>
        <w:r w:rsidR="00BF1301">
          <w:rPr>
            <w:noProof/>
            <w:webHidden/>
          </w:rPr>
          <w:fldChar w:fldCharType="end"/>
        </w:r>
      </w:hyperlink>
    </w:p>
    <w:p w14:paraId="5B017141" w14:textId="5FD872AB" w:rsidR="00BF1301" w:rsidRDefault="00B14886">
      <w:pPr>
        <w:pStyle w:val="Spistreci3"/>
        <w:tabs>
          <w:tab w:val="right" w:leader="dot" w:pos="9396"/>
        </w:tabs>
        <w:rPr>
          <w:rFonts w:eastAsiaTheme="minorEastAsia" w:cstheme="minorBidi"/>
          <w:noProof/>
          <w:sz w:val="22"/>
          <w:szCs w:val="22"/>
        </w:rPr>
      </w:pPr>
      <w:hyperlink w:anchor="_Toc235079783" w:history="1">
        <w:r w:rsidR="00BF1301" w:rsidRPr="004E5027">
          <w:rPr>
            <w:rStyle w:val="Hipercze"/>
            <w:rFonts w:ascii="Calibri" w:hAnsi="Calibri"/>
            <w:noProof/>
          </w:rPr>
          <w:t>Działanie FESL.05.06 Szkolenia dla pracowników IRP</w:t>
        </w:r>
        <w:r w:rsidR="00BF1301">
          <w:rPr>
            <w:noProof/>
            <w:webHidden/>
          </w:rPr>
          <w:tab/>
        </w:r>
        <w:r w:rsidR="00BF1301">
          <w:rPr>
            <w:noProof/>
            <w:webHidden/>
          </w:rPr>
          <w:fldChar w:fldCharType="begin"/>
        </w:r>
        <w:r w:rsidR="00BF1301">
          <w:rPr>
            <w:noProof/>
            <w:webHidden/>
          </w:rPr>
          <w:instrText xml:space="preserve"> PAGEREF _Toc235079783 \h </w:instrText>
        </w:r>
        <w:r w:rsidR="00BF1301">
          <w:rPr>
            <w:noProof/>
            <w:webHidden/>
          </w:rPr>
        </w:r>
        <w:r w:rsidR="00BF1301">
          <w:rPr>
            <w:noProof/>
            <w:webHidden/>
          </w:rPr>
          <w:fldChar w:fldCharType="separate"/>
        </w:r>
        <w:r w:rsidR="00D60E21">
          <w:rPr>
            <w:noProof/>
            <w:webHidden/>
          </w:rPr>
          <w:t>190</w:t>
        </w:r>
        <w:r w:rsidR="00BF1301">
          <w:rPr>
            <w:noProof/>
            <w:webHidden/>
          </w:rPr>
          <w:fldChar w:fldCharType="end"/>
        </w:r>
      </w:hyperlink>
    </w:p>
    <w:p w14:paraId="6162BEAD" w14:textId="4CC69D4D" w:rsidR="00BF1301" w:rsidRDefault="00B14886">
      <w:pPr>
        <w:pStyle w:val="Spistreci3"/>
        <w:tabs>
          <w:tab w:val="right" w:leader="dot" w:pos="9396"/>
        </w:tabs>
        <w:rPr>
          <w:rFonts w:eastAsiaTheme="minorEastAsia" w:cstheme="minorBidi"/>
          <w:noProof/>
          <w:sz w:val="22"/>
          <w:szCs w:val="22"/>
        </w:rPr>
      </w:pPr>
      <w:hyperlink w:anchor="_Toc235079784" w:history="1">
        <w:r w:rsidR="00BF1301" w:rsidRPr="004E5027">
          <w:rPr>
            <w:rStyle w:val="Hipercze"/>
            <w:rFonts w:ascii="Calibri" w:hAnsi="Calibri"/>
            <w:noProof/>
          </w:rPr>
          <w:t>Działanie FESL.05.07 Opracowanie modelu prognozowania i monitorowania zmian na rynku pracy</w:t>
        </w:r>
        <w:r w:rsidR="00BF1301">
          <w:rPr>
            <w:noProof/>
            <w:webHidden/>
          </w:rPr>
          <w:tab/>
        </w:r>
        <w:r w:rsidR="00BF1301">
          <w:rPr>
            <w:noProof/>
            <w:webHidden/>
          </w:rPr>
          <w:fldChar w:fldCharType="begin"/>
        </w:r>
        <w:r w:rsidR="00BF1301">
          <w:rPr>
            <w:noProof/>
            <w:webHidden/>
          </w:rPr>
          <w:instrText xml:space="preserve"> PAGEREF _Toc235079784 \h </w:instrText>
        </w:r>
        <w:r w:rsidR="00BF1301">
          <w:rPr>
            <w:noProof/>
            <w:webHidden/>
          </w:rPr>
        </w:r>
        <w:r w:rsidR="00BF1301">
          <w:rPr>
            <w:noProof/>
            <w:webHidden/>
          </w:rPr>
          <w:fldChar w:fldCharType="separate"/>
        </w:r>
        <w:r w:rsidR="00D60E21">
          <w:rPr>
            <w:noProof/>
            <w:webHidden/>
          </w:rPr>
          <w:t>194</w:t>
        </w:r>
        <w:r w:rsidR="00BF1301">
          <w:rPr>
            <w:noProof/>
            <w:webHidden/>
          </w:rPr>
          <w:fldChar w:fldCharType="end"/>
        </w:r>
      </w:hyperlink>
    </w:p>
    <w:p w14:paraId="2439DA8D" w14:textId="1F718F47" w:rsidR="00BF1301" w:rsidRDefault="00B14886">
      <w:pPr>
        <w:pStyle w:val="Spistreci3"/>
        <w:tabs>
          <w:tab w:val="right" w:leader="dot" w:pos="9396"/>
        </w:tabs>
        <w:rPr>
          <w:rFonts w:eastAsiaTheme="minorEastAsia" w:cstheme="minorBidi"/>
          <w:noProof/>
          <w:sz w:val="22"/>
          <w:szCs w:val="22"/>
        </w:rPr>
      </w:pPr>
      <w:hyperlink w:anchor="_Toc235079785" w:history="1">
        <w:r w:rsidR="00BF1301" w:rsidRPr="004E5027">
          <w:rPr>
            <w:rStyle w:val="Hipercze"/>
            <w:rFonts w:ascii="Calibri" w:hAnsi="Calibri"/>
            <w:noProof/>
          </w:rPr>
          <w:t>Działanie FESL.05.08 Budowanie sieci współpracy międzyinstytucjonalnej i promocji w zakresie poradnictwa zawodowego</w:t>
        </w:r>
        <w:r w:rsidR="00BF1301">
          <w:rPr>
            <w:noProof/>
            <w:webHidden/>
          </w:rPr>
          <w:tab/>
        </w:r>
        <w:r w:rsidR="00BF1301">
          <w:rPr>
            <w:noProof/>
            <w:webHidden/>
          </w:rPr>
          <w:fldChar w:fldCharType="begin"/>
        </w:r>
        <w:r w:rsidR="00BF1301">
          <w:rPr>
            <w:noProof/>
            <w:webHidden/>
          </w:rPr>
          <w:instrText xml:space="preserve"> PAGEREF _Toc235079785 \h </w:instrText>
        </w:r>
        <w:r w:rsidR="00BF1301">
          <w:rPr>
            <w:noProof/>
            <w:webHidden/>
          </w:rPr>
        </w:r>
        <w:r w:rsidR="00BF1301">
          <w:rPr>
            <w:noProof/>
            <w:webHidden/>
          </w:rPr>
          <w:fldChar w:fldCharType="separate"/>
        </w:r>
        <w:r w:rsidR="00D60E21">
          <w:rPr>
            <w:noProof/>
            <w:webHidden/>
          </w:rPr>
          <w:t>197</w:t>
        </w:r>
        <w:r w:rsidR="00BF1301">
          <w:rPr>
            <w:noProof/>
            <w:webHidden/>
          </w:rPr>
          <w:fldChar w:fldCharType="end"/>
        </w:r>
      </w:hyperlink>
    </w:p>
    <w:p w14:paraId="5A8215AF" w14:textId="2559DB26" w:rsidR="00BF1301" w:rsidRDefault="00B14886">
      <w:pPr>
        <w:pStyle w:val="Spistreci3"/>
        <w:tabs>
          <w:tab w:val="right" w:leader="dot" w:pos="9396"/>
        </w:tabs>
        <w:rPr>
          <w:rFonts w:eastAsiaTheme="minorEastAsia" w:cstheme="minorBidi"/>
          <w:noProof/>
          <w:sz w:val="22"/>
          <w:szCs w:val="22"/>
        </w:rPr>
      </w:pPr>
      <w:hyperlink w:anchor="_Toc235079786" w:history="1">
        <w:r w:rsidR="00BF1301" w:rsidRPr="004E5027">
          <w:rPr>
            <w:rStyle w:val="Hipercze"/>
            <w:rFonts w:ascii="Calibri" w:hAnsi="Calibri"/>
            <w:noProof/>
          </w:rPr>
          <w:t>Działanie FESL.05.09 EURES-T Beskydy</w:t>
        </w:r>
        <w:r w:rsidR="00BF1301">
          <w:rPr>
            <w:noProof/>
            <w:webHidden/>
          </w:rPr>
          <w:tab/>
        </w:r>
        <w:r w:rsidR="00BF1301">
          <w:rPr>
            <w:noProof/>
            <w:webHidden/>
          </w:rPr>
          <w:fldChar w:fldCharType="begin"/>
        </w:r>
        <w:r w:rsidR="00BF1301">
          <w:rPr>
            <w:noProof/>
            <w:webHidden/>
          </w:rPr>
          <w:instrText xml:space="preserve"> PAGEREF _Toc235079786 \h </w:instrText>
        </w:r>
        <w:r w:rsidR="00BF1301">
          <w:rPr>
            <w:noProof/>
            <w:webHidden/>
          </w:rPr>
        </w:r>
        <w:r w:rsidR="00BF1301">
          <w:rPr>
            <w:noProof/>
            <w:webHidden/>
          </w:rPr>
          <w:fldChar w:fldCharType="separate"/>
        </w:r>
        <w:r w:rsidR="00D60E21">
          <w:rPr>
            <w:noProof/>
            <w:webHidden/>
          </w:rPr>
          <w:t>200</w:t>
        </w:r>
        <w:r w:rsidR="00BF1301">
          <w:rPr>
            <w:noProof/>
            <w:webHidden/>
          </w:rPr>
          <w:fldChar w:fldCharType="end"/>
        </w:r>
      </w:hyperlink>
    </w:p>
    <w:p w14:paraId="4B86B8D5" w14:textId="3DA0E191" w:rsidR="00BF1301" w:rsidRDefault="00B14886">
      <w:pPr>
        <w:pStyle w:val="Spistreci3"/>
        <w:tabs>
          <w:tab w:val="right" w:leader="dot" w:pos="9396"/>
        </w:tabs>
        <w:rPr>
          <w:rFonts w:eastAsiaTheme="minorEastAsia" w:cstheme="minorBidi"/>
          <w:noProof/>
          <w:sz w:val="22"/>
          <w:szCs w:val="22"/>
        </w:rPr>
      </w:pPr>
      <w:hyperlink w:anchor="_Toc235079787" w:history="1">
        <w:r w:rsidR="00BF1301" w:rsidRPr="004E5027">
          <w:rPr>
            <w:rStyle w:val="Hipercze"/>
            <w:rFonts w:ascii="Calibri" w:hAnsi="Calibri"/>
            <w:noProof/>
          </w:rPr>
          <w:t>Działanie FESL.05.10 EURES dla PSZ</w:t>
        </w:r>
        <w:r w:rsidR="00BF1301">
          <w:rPr>
            <w:noProof/>
            <w:webHidden/>
          </w:rPr>
          <w:tab/>
        </w:r>
        <w:r w:rsidR="00BF1301">
          <w:rPr>
            <w:noProof/>
            <w:webHidden/>
          </w:rPr>
          <w:fldChar w:fldCharType="begin"/>
        </w:r>
        <w:r w:rsidR="00BF1301">
          <w:rPr>
            <w:noProof/>
            <w:webHidden/>
          </w:rPr>
          <w:instrText xml:space="preserve"> PAGEREF _Toc235079787 \h </w:instrText>
        </w:r>
        <w:r w:rsidR="00BF1301">
          <w:rPr>
            <w:noProof/>
            <w:webHidden/>
          </w:rPr>
        </w:r>
        <w:r w:rsidR="00BF1301">
          <w:rPr>
            <w:noProof/>
            <w:webHidden/>
          </w:rPr>
          <w:fldChar w:fldCharType="separate"/>
        </w:r>
        <w:r w:rsidR="00D60E21">
          <w:rPr>
            <w:noProof/>
            <w:webHidden/>
          </w:rPr>
          <w:t>204</w:t>
        </w:r>
        <w:r w:rsidR="00BF1301">
          <w:rPr>
            <w:noProof/>
            <w:webHidden/>
          </w:rPr>
          <w:fldChar w:fldCharType="end"/>
        </w:r>
      </w:hyperlink>
    </w:p>
    <w:p w14:paraId="0A6DB08E" w14:textId="203BA775" w:rsidR="00BF1301" w:rsidRDefault="00B14886">
      <w:pPr>
        <w:pStyle w:val="Spistreci3"/>
        <w:tabs>
          <w:tab w:val="right" w:leader="dot" w:pos="9396"/>
        </w:tabs>
        <w:rPr>
          <w:rFonts w:eastAsiaTheme="minorEastAsia" w:cstheme="minorBidi"/>
          <w:noProof/>
          <w:sz w:val="22"/>
          <w:szCs w:val="22"/>
        </w:rPr>
      </w:pPr>
      <w:hyperlink w:anchor="_Toc235079788" w:history="1">
        <w:r w:rsidR="00BF1301" w:rsidRPr="004E5027">
          <w:rPr>
            <w:rStyle w:val="Hipercze"/>
            <w:rFonts w:ascii="Calibri" w:hAnsi="Calibri"/>
            <w:noProof/>
          </w:rPr>
          <w:t>Działanie FESL.05.11 Równość szans na rynku pracy</w:t>
        </w:r>
        <w:r w:rsidR="00BF1301">
          <w:rPr>
            <w:noProof/>
            <w:webHidden/>
          </w:rPr>
          <w:tab/>
        </w:r>
        <w:r w:rsidR="00BF1301">
          <w:rPr>
            <w:noProof/>
            <w:webHidden/>
          </w:rPr>
          <w:fldChar w:fldCharType="begin"/>
        </w:r>
        <w:r w:rsidR="00BF1301">
          <w:rPr>
            <w:noProof/>
            <w:webHidden/>
          </w:rPr>
          <w:instrText xml:space="preserve"> PAGEREF _Toc235079788 \h </w:instrText>
        </w:r>
        <w:r w:rsidR="00BF1301">
          <w:rPr>
            <w:noProof/>
            <w:webHidden/>
          </w:rPr>
        </w:r>
        <w:r w:rsidR="00BF1301">
          <w:rPr>
            <w:noProof/>
            <w:webHidden/>
          </w:rPr>
          <w:fldChar w:fldCharType="separate"/>
        </w:r>
        <w:r w:rsidR="00D60E21">
          <w:rPr>
            <w:noProof/>
            <w:webHidden/>
          </w:rPr>
          <w:t>207</w:t>
        </w:r>
        <w:r w:rsidR="00BF1301">
          <w:rPr>
            <w:noProof/>
            <w:webHidden/>
          </w:rPr>
          <w:fldChar w:fldCharType="end"/>
        </w:r>
      </w:hyperlink>
    </w:p>
    <w:p w14:paraId="2D1ADDA7" w14:textId="69552033" w:rsidR="00BF1301" w:rsidRDefault="00B14886">
      <w:pPr>
        <w:pStyle w:val="Spistreci3"/>
        <w:tabs>
          <w:tab w:val="right" w:leader="dot" w:pos="9396"/>
        </w:tabs>
        <w:rPr>
          <w:rFonts w:eastAsiaTheme="minorEastAsia" w:cstheme="minorBidi"/>
          <w:noProof/>
          <w:sz w:val="22"/>
          <w:szCs w:val="22"/>
        </w:rPr>
      </w:pPr>
      <w:hyperlink w:anchor="_Toc235079789" w:history="1">
        <w:r w:rsidR="00BF1301" w:rsidRPr="004E5027">
          <w:rPr>
            <w:rStyle w:val="Hipercze"/>
            <w:rFonts w:ascii="Calibri" w:hAnsi="Calibri"/>
            <w:noProof/>
          </w:rPr>
          <w:t>Działanie FESL.05.12 Regionalne programy zdrowotne</w:t>
        </w:r>
        <w:r w:rsidR="00BF1301">
          <w:rPr>
            <w:noProof/>
            <w:webHidden/>
          </w:rPr>
          <w:tab/>
        </w:r>
        <w:r w:rsidR="00BF1301">
          <w:rPr>
            <w:noProof/>
            <w:webHidden/>
          </w:rPr>
          <w:fldChar w:fldCharType="begin"/>
        </w:r>
        <w:r w:rsidR="00BF1301">
          <w:rPr>
            <w:noProof/>
            <w:webHidden/>
          </w:rPr>
          <w:instrText xml:space="preserve"> PAGEREF _Toc235079789 \h </w:instrText>
        </w:r>
        <w:r w:rsidR="00BF1301">
          <w:rPr>
            <w:noProof/>
            <w:webHidden/>
          </w:rPr>
        </w:r>
        <w:r w:rsidR="00BF1301">
          <w:rPr>
            <w:noProof/>
            <w:webHidden/>
          </w:rPr>
          <w:fldChar w:fldCharType="separate"/>
        </w:r>
        <w:r w:rsidR="00D60E21">
          <w:rPr>
            <w:noProof/>
            <w:webHidden/>
          </w:rPr>
          <w:t>212</w:t>
        </w:r>
        <w:r w:rsidR="00BF1301">
          <w:rPr>
            <w:noProof/>
            <w:webHidden/>
          </w:rPr>
          <w:fldChar w:fldCharType="end"/>
        </w:r>
      </w:hyperlink>
    </w:p>
    <w:p w14:paraId="7AB60DA1" w14:textId="6C34C599" w:rsidR="00BF1301" w:rsidRDefault="00B14886">
      <w:pPr>
        <w:pStyle w:val="Spistreci3"/>
        <w:tabs>
          <w:tab w:val="right" w:leader="dot" w:pos="9396"/>
        </w:tabs>
        <w:rPr>
          <w:rFonts w:eastAsiaTheme="minorEastAsia" w:cstheme="minorBidi"/>
          <w:noProof/>
          <w:sz w:val="22"/>
          <w:szCs w:val="22"/>
        </w:rPr>
      </w:pPr>
      <w:hyperlink w:anchor="_Toc235079790" w:history="1">
        <w:r w:rsidR="00BF1301" w:rsidRPr="004E5027">
          <w:rPr>
            <w:rStyle w:val="Hipercze"/>
            <w:rFonts w:ascii="Calibri" w:hAnsi="Calibri"/>
            <w:noProof/>
          </w:rPr>
          <w:t>Działanie FESL.05.13 Zdrowy pracownik</w:t>
        </w:r>
        <w:r w:rsidR="00BF1301">
          <w:rPr>
            <w:noProof/>
            <w:webHidden/>
          </w:rPr>
          <w:tab/>
        </w:r>
        <w:r w:rsidR="00BF1301">
          <w:rPr>
            <w:noProof/>
            <w:webHidden/>
          </w:rPr>
          <w:fldChar w:fldCharType="begin"/>
        </w:r>
        <w:r w:rsidR="00BF1301">
          <w:rPr>
            <w:noProof/>
            <w:webHidden/>
          </w:rPr>
          <w:instrText xml:space="preserve"> PAGEREF _Toc235079790 \h </w:instrText>
        </w:r>
        <w:r w:rsidR="00BF1301">
          <w:rPr>
            <w:noProof/>
            <w:webHidden/>
          </w:rPr>
        </w:r>
        <w:r w:rsidR="00BF1301">
          <w:rPr>
            <w:noProof/>
            <w:webHidden/>
          </w:rPr>
          <w:fldChar w:fldCharType="separate"/>
        </w:r>
        <w:r w:rsidR="00D60E21">
          <w:rPr>
            <w:noProof/>
            <w:webHidden/>
          </w:rPr>
          <w:t>216</w:t>
        </w:r>
        <w:r w:rsidR="00BF1301">
          <w:rPr>
            <w:noProof/>
            <w:webHidden/>
          </w:rPr>
          <w:fldChar w:fldCharType="end"/>
        </w:r>
      </w:hyperlink>
    </w:p>
    <w:p w14:paraId="3535E202" w14:textId="2FDBC993" w:rsidR="00BF1301" w:rsidRDefault="00B14886">
      <w:pPr>
        <w:pStyle w:val="Spistreci3"/>
        <w:tabs>
          <w:tab w:val="right" w:leader="dot" w:pos="9396"/>
        </w:tabs>
        <w:rPr>
          <w:rFonts w:eastAsiaTheme="minorEastAsia" w:cstheme="minorBidi"/>
          <w:noProof/>
          <w:sz w:val="22"/>
          <w:szCs w:val="22"/>
        </w:rPr>
      </w:pPr>
      <w:hyperlink w:anchor="_Toc235079791" w:history="1">
        <w:r w:rsidR="00BF1301" w:rsidRPr="004E5027">
          <w:rPr>
            <w:rStyle w:val="Hipercze"/>
            <w:rFonts w:ascii="Calibri" w:hAnsi="Calibri"/>
            <w:noProof/>
          </w:rPr>
          <w:t>Działanie FESL.05.14 Usługi rozwojowe dla kadr administracji samorządowej</w:t>
        </w:r>
        <w:r w:rsidR="00BF1301">
          <w:rPr>
            <w:noProof/>
            <w:webHidden/>
          </w:rPr>
          <w:tab/>
        </w:r>
        <w:r w:rsidR="00BF1301">
          <w:rPr>
            <w:noProof/>
            <w:webHidden/>
          </w:rPr>
          <w:fldChar w:fldCharType="begin"/>
        </w:r>
        <w:r w:rsidR="00BF1301">
          <w:rPr>
            <w:noProof/>
            <w:webHidden/>
          </w:rPr>
          <w:instrText xml:space="preserve"> PAGEREF _Toc235079791 \h </w:instrText>
        </w:r>
        <w:r w:rsidR="00BF1301">
          <w:rPr>
            <w:noProof/>
            <w:webHidden/>
          </w:rPr>
        </w:r>
        <w:r w:rsidR="00BF1301">
          <w:rPr>
            <w:noProof/>
            <w:webHidden/>
          </w:rPr>
          <w:fldChar w:fldCharType="separate"/>
        </w:r>
        <w:r w:rsidR="00D60E21">
          <w:rPr>
            <w:noProof/>
            <w:webHidden/>
          </w:rPr>
          <w:t>220</w:t>
        </w:r>
        <w:r w:rsidR="00BF1301">
          <w:rPr>
            <w:noProof/>
            <w:webHidden/>
          </w:rPr>
          <w:fldChar w:fldCharType="end"/>
        </w:r>
      </w:hyperlink>
    </w:p>
    <w:p w14:paraId="6F2C3EC4" w14:textId="7248C841" w:rsidR="00BF1301" w:rsidRDefault="00B14886">
      <w:pPr>
        <w:pStyle w:val="Spistreci3"/>
        <w:tabs>
          <w:tab w:val="right" w:leader="dot" w:pos="9396"/>
        </w:tabs>
        <w:rPr>
          <w:rFonts w:eastAsiaTheme="minorEastAsia" w:cstheme="minorBidi"/>
          <w:noProof/>
          <w:sz w:val="22"/>
          <w:szCs w:val="22"/>
        </w:rPr>
      </w:pPr>
      <w:hyperlink w:anchor="_Toc235079792" w:history="1">
        <w:r w:rsidR="00BF1301" w:rsidRPr="004E5027">
          <w:rPr>
            <w:rStyle w:val="Hipercze"/>
            <w:rFonts w:ascii="Calibri" w:hAnsi="Calibri"/>
            <w:noProof/>
          </w:rPr>
          <w:t>Działanie FESL.05.15 Usługi rozwojowe dla przedsiębiorców - PSF</w:t>
        </w:r>
        <w:r w:rsidR="00BF1301">
          <w:rPr>
            <w:noProof/>
            <w:webHidden/>
          </w:rPr>
          <w:tab/>
        </w:r>
        <w:r w:rsidR="00BF1301">
          <w:rPr>
            <w:noProof/>
            <w:webHidden/>
          </w:rPr>
          <w:fldChar w:fldCharType="begin"/>
        </w:r>
        <w:r w:rsidR="00BF1301">
          <w:rPr>
            <w:noProof/>
            <w:webHidden/>
          </w:rPr>
          <w:instrText xml:space="preserve"> PAGEREF _Toc235079792 \h </w:instrText>
        </w:r>
        <w:r w:rsidR="00BF1301">
          <w:rPr>
            <w:noProof/>
            <w:webHidden/>
          </w:rPr>
        </w:r>
        <w:r w:rsidR="00BF1301">
          <w:rPr>
            <w:noProof/>
            <w:webHidden/>
          </w:rPr>
          <w:fldChar w:fldCharType="separate"/>
        </w:r>
        <w:r w:rsidR="00D60E21">
          <w:rPr>
            <w:noProof/>
            <w:webHidden/>
          </w:rPr>
          <w:t>224</w:t>
        </w:r>
        <w:r w:rsidR="00BF1301">
          <w:rPr>
            <w:noProof/>
            <w:webHidden/>
          </w:rPr>
          <w:fldChar w:fldCharType="end"/>
        </w:r>
      </w:hyperlink>
    </w:p>
    <w:p w14:paraId="0F70CF74" w14:textId="7DB4DDD9" w:rsidR="00BF1301" w:rsidRDefault="00B14886">
      <w:pPr>
        <w:pStyle w:val="Spistreci3"/>
        <w:tabs>
          <w:tab w:val="right" w:leader="dot" w:pos="9396"/>
        </w:tabs>
        <w:rPr>
          <w:rFonts w:eastAsiaTheme="minorEastAsia" w:cstheme="minorBidi"/>
          <w:noProof/>
          <w:sz w:val="22"/>
          <w:szCs w:val="22"/>
        </w:rPr>
      </w:pPr>
      <w:hyperlink w:anchor="_Toc235079793" w:history="1">
        <w:r w:rsidR="00BF1301" w:rsidRPr="004E5027">
          <w:rPr>
            <w:rStyle w:val="Hipercze"/>
            <w:rFonts w:ascii="Calibri" w:hAnsi="Calibri"/>
            <w:noProof/>
          </w:rPr>
          <w:t>Działanie FESL.05.16 Outplacement EFS+</w:t>
        </w:r>
        <w:r w:rsidR="00BF1301">
          <w:rPr>
            <w:noProof/>
            <w:webHidden/>
          </w:rPr>
          <w:tab/>
        </w:r>
        <w:r w:rsidR="00BF1301">
          <w:rPr>
            <w:noProof/>
            <w:webHidden/>
          </w:rPr>
          <w:fldChar w:fldCharType="begin"/>
        </w:r>
        <w:r w:rsidR="00BF1301">
          <w:rPr>
            <w:noProof/>
            <w:webHidden/>
          </w:rPr>
          <w:instrText xml:space="preserve"> PAGEREF _Toc235079793 \h </w:instrText>
        </w:r>
        <w:r w:rsidR="00BF1301">
          <w:rPr>
            <w:noProof/>
            <w:webHidden/>
          </w:rPr>
        </w:r>
        <w:r w:rsidR="00BF1301">
          <w:rPr>
            <w:noProof/>
            <w:webHidden/>
          </w:rPr>
          <w:fldChar w:fldCharType="separate"/>
        </w:r>
        <w:r w:rsidR="00D60E21">
          <w:rPr>
            <w:noProof/>
            <w:webHidden/>
          </w:rPr>
          <w:t>228</w:t>
        </w:r>
        <w:r w:rsidR="00BF1301">
          <w:rPr>
            <w:noProof/>
            <w:webHidden/>
          </w:rPr>
          <w:fldChar w:fldCharType="end"/>
        </w:r>
      </w:hyperlink>
    </w:p>
    <w:p w14:paraId="75D35E7E" w14:textId="5AFB6FF2" w:rsidR="00BF1301" w:rsidRDefault="00B14886">
      <w:pPr>
        <w:pStyle w:val="Spistreci2"/>
        <w:tabs>
          <w:tab w:val="right" w:leader="dot" w:pos="9396"/>
        </w:tabs>
        <w:rPr>
          <w:rFonts w:eastAsiaTheme="minorEastAsia" w:cstheme="minorBidi"/>
          <w:noProof/>
          <w:sz w:val="22"/>
          <w:szCs w:val="22"/>
        </w:rPr>
      </w:pPr>
      <w:hyperlink w:anchor="_Toc235079794" w:history="1">
        <w:r w:rsidR="00BF1301" w:rsidRPr="004E5027">
          <w:rPr>
            <w:rStyle w:val="Hipercze"/>
            <w:rFonts w:ascii="Calibri" w:hAnsi="Calibri"/>
            <w:noProof/>
          </w:rPr>
          <w:t>Priorytet FESL.06 Fundusze Europejskie dla edukacji</w:t>
        </w:r>
        <w:r w:rsidR="00BF1301">
          <w:rPr>
            <w:noProof/>
            <w:webHidden/>
          </w:rPr>
          <w:tab/>
        </w:r>
        <w:r w:rsidR="00BF1301">
          <w:rPr>
            <w:noProof/>
            <w:webHidden/>
          </w:rPr>
          <w:fldChar w:fldCharType="begin"/>
        </w:r>
        <w:r w:rsidR="00BF1301">
          <w:rPr>
            <w:noProof/>
            <w:webHidden/>
          </w:rPr>
          <w:instrText xml:space="preserve"> PAGEREF _Toc235079794 \h </w:instrText>
        </w:r>
        <w:r w:rsidR="00BF1301">
          <w:rPr>
            <w:noProof/>
            <w:webHidden/>
          </w:rPr>
        </w:r>
        <w:r w:rsidR="00BF1301">
          <w:rPr>
            <w:noProof/>
            <w:webHidden/>
          </w:rPr>
          <w:fldChar w:fldCharType="separate"/>
        </w:r>
        <w:r w:rsidR="00D60E21">
          <w:rPr>
            <w:noProof/>
            <w:webHidden/>
          </w:rPr>
          <w:t>232</w:t>
        </w:r>
        <w:r w:rsidR="00BF1301">
          <w:rPr>
            <w:noProof/>
            <w:webHidden/>
          </w:rPr>
          <w:fldChar w:fldCharType="end"/>
        </w:r>
      </w:hyperlink>
    </w:p>
    <w:p w14:paraId="48DD014F" w14:textId="279E0E6F" w:rsidR="00BF1301" w:rsidRDefault="00B14886">
      <w:pPr>
        <w:pStyle w:val="Spistreci3"/>
        <w:tabs>
          <w:tab w:val="right" w:leader="dot" w:pos="9396"/>
        </w:tabs>
        <w:rPr>
          <w:rFonts w:eastAsiaTheme="minorEastAsia" w:cstheme="minorBidi"/>
          <w:noProof/>
          <w:sz w:val="22"/>
          <w:szCs w:val="22"/>
        </w:rPr>
      </w:pPr>
      <w:hyperlink w:anchor="_Toc235079795" w:history="1">
        <w:r w:rsidR="00BF1301" w:rsidRPr="004E5027">
          <w:rPr>
            <w:rStyle w:val="Hipercze"/>
            <w:rFonts w:ascii="Calibri" w:hAnsi="Calibri"/>
            <w:noProof/>
          </w:rPr>
          <w:t>Działanie FESL.06.01 Edukacja przedszkolna</w:t>
        </w:r>
        <w:r w:rsidR="00BF1301">
          <w:rPr>
            <w:noProof/>
            <w:webHidden/>
          </w:rPr>
          <w:tab/>
        </w:r>
        <w:r w:rsidR="00BF1301">
          <w:rPr>
            <w:noProof/>
            <w:webHidden/>
          </w:rPr>
          <w:fldChar w:fldCharType="begin"/>
        </w:r>
        <w:r w:rsidR="00BF1301">
          <w:rPr>
            <w:noProof/>
            <w:webHidden/>
          </w:rPr>
          <w:instrText xml:space="preserve"> PAGEREF _Toc235079795 \h </w:instrText>
        </w:r>
        <w:r w:rsidR="00BF1301">
          <w:rPr>
            <w:noProof/>
            <w:webHidden/>
          </w:rPr>
        </w:r>
        <w:r w:rsidR="00BF1301">
          <w:rPr>
            <w:noProof/>
            <w:webHidden/>
          </w:rPr>
          <w:fldChar w:fldCharType="separate"/>
        </w:r>
        <w:r w:rsidR="00D60E21">
          <w:rPr>
            <w:noProof/>
            <w:webHidden/>
          </w:rPr>
          <w:t>233</w:t>
        </w:r>
        <w:r w:rsidR="00BF1301">
          <w:rPr>
            <w:noProof/>
            <w:webHidden/>
          </w:rPr>
          <w:fldChar w:fldCharType="end"/>
        </w:r>
      </w:hyperlink>
    </w:p>
    <w:p w14:paraId="6187FF26" w14:textId="0FE8863B" w:rsidR="00BF1301" w:rsidRDefault="00B14886">
      <w:pPr>
        <w:pStyle w:val="Spistreci3"/>
        <w:tabs>
          <w:tab w:val="right" w:leader="dot" w:pos="9396"/>
        </w:tabs>
        <w:rPr>
          <w:rFonts w:eastAsiaTheme="minorEastAsia" w:cstheme="minorBidi"/>
          <w:noProof/>
          <w:sz w:val="22"/>
          <w:szCs w:val="22"/>
        </w:rPr>
      </w:pPr>
      <w:hyperlink w:anchor="_Toc235079796" w:history="1">
        <w:r w:rsidR="00BF1301" w:rsidRPr="004E5027">
          <w:rPr>
            <w:rStyle w:val="Hipercze"/>
            <w:rFonts w:ascii="Calibri" w:hAnsi="Calibri"/>
            <w:noProof/>
          </w:rPr>
          <w:t>Działanie FESL.06.02 Kształcenie ogólne</w:t>
        </w:r>
        <w:r w:rsidR="00BF1301">
          <w:rPr>
            <w:noProof/>
            <w:webHidden/>
          </w:rPr>
          <w:tab/>
        </w:r>
        <w:r w:rsidR="00BF1301">
          <w:rPr>
            <w:noProof/>
            <w:webHidden/>
          </w:rPr>
          <w:fldChar w:fldCharType="begin"/>
        </w:r>
        <w:r w:rsidR="00BF1301">
          <w:rPr>
            <w:noProof/>
            <w:webHidden/>
          </w:rPr>
          <w:instrText xml:space="preserve"> PAGEREF _Toc235079796 \h </w:instrText>
        </w:r>
        <w:r w:rsidR="00BF1301">
          <w:rPr>
            <w:noProof/>
            <w:webHidden/>
          </w:rPr>
        </w:r>
        <w:r w:rsidR="00BF1301">
          <w:rPr>
            <w:noProof/>
            <w:webHidden/>
          </w:rPr>
          <w:fldChar w:fldCharType="separate"/>
        </w:r>
        <w:r w:rsidR="00D60E21">
          <w:rPr>
            <w:noProof/>
            <w:webHidden/>
          </w:rPr>
          <w:t>237</w:t>
        </w:r>
        <w:r w:rsidR="00BF1301">
          <w:rPr>
            <w:noProof/>
            <w:webHidden/>
          </w:rPr>
          <w:fldChar w:fldCharType="end"/>
        </w:r>
      </w:hyperlink>
    </w:p>
    <w:p w14:paraId="395451A3" w14:textId="46E7155A" w:rsidR="00BF1301" w:rsidRDefault="00B14886">
      <w:pPr>
        <w:pStyle w:val="Spistreci3"/>
        <w:tabs>
          <w:tab w:val="right" w:leader="dot" w:pos="9396"/>
        </w:tabs>
        <w:rPr>
          <w:rFonts w:eastAsiaTheme="minorEastAsia" w:cstheme="minorBidi"/>
          <w:noProof/>
          <w:sz w:val="22"/>
          <w:szCs w:val="22"/>
        </w:rPr>
      </w:pPr>
      <w:hyperlink w:anchor="_Toc235079797" w:history="1">
        <w:r w:rsidR="00BF1301" w:rsidRPr="004E5027">
          <w:rPr>
            <w:rStyle w:val="Hipercze"/>
            <w:rFonts w:ascii="Calibri" w:hAnsi="Calibri"/>
            <w:noProof/>
          </w:rPr>
          <w:t>Działanie FESL.06.03 Kształcenie zawodowe</w:t>
        </w:r>
        <w:r w:rsidR="00BF1301">
          <w:rPr>
            <w:noProof/>
            <w:webHidden/>
          </w:rPr>
          <w:tab/>
        </w:r>
        <w:r w:rsidR="00BF1301">
          <w:rPr>
            <w:noProof/>
            <w:webHidden/>
          </w:rPr>
          <w:fldChar w:fldCharType="begin"/>
        </w:r>
        <w:r w:rsidR="00BF1301">
          <w:rPr>
            <w:noProof/>
            <w:webHidden/>
          </w:rPr>
          <w:instrText xml:space="preserve"> PAGEREF _Toc235079797 \h </w:instrText>
        </w:r>
        <w:r w:rsidR="00BF1301">
          <w:rPr>
            <w:noProof/>
            <w:webHidden/>
          </w:rPr>
        </w:r>
        <w:r w:rsidR="00BF1301">
          <w:rPr>
            <w:noProof/>
            <w:webHidden/>
          </w:rPr>
          <w:fldChar w:fldCharType="separate"/>
        </w:r>
        <w:r w:rsidR="00D60E21">
          <w:rPr>
            <w:noProof/>
            <w:webHidden/>
          </w:rPr>
          <w:t>241</w:t>
        </w:r>
        <w:r w:rsidR="00BF1301">
          <w:rPr>
            <w:noProof/>
            <w:webHidden/>
          </w:rPr>
          <w:fldChar w:fldCharType="end"/>
        </w:r>
      </w:hyperlink>
    </w:p>
    <w:p w14:paraId="72CCA537" w14:textId="4C86DE87" w:rsidR="00BF1301" w:rsidRDefault="00B14886">
      <w:pPr>
        <w:pStyle w:val="Spistreci3"/>
        <w:tabs>
          <w:tab w:val="right" w:leader="dot" w:pos="9396"/>
        </w:tabs>
        <w:rPr>
          <w:rFonts w:eastAsiaTheme="minorEastAsia" w:cstheme="minorBidi"/>
          <w:noProof/>
          <w:sz w:val="22"/>
          <w:szCs w:val="22"/>
        </w:rPr>
      </w:pPr>
      <w:hyperlink w:anchor="_Toc235079798" w:history="1">
        <w:r w:rsidR="00BF1301" w:rsidRPr="004E5027">
          <w:rPr>
            <w:rStyle w:val="Hipercze"/>
            <w:rFonts w:ascii="Calibri" w:hAnsi="Calibri"/>
            <w:noProof/>
          </w:rPr>
          <w:t>Działanie FESL.06.04 Strategiczne projekty dla obszaru edukacji</w:t>
        </w:r>
        <w:r w:rsidR="00BF1301">
          <w:rPr>
            <w:noProof/>
            <w:webHidden/>
          </w:rPr>
          <w:tab/>
        </w:r>
        <w:r w:rsidR="00BF1301">
          <w:rPr>
            <w:noProof/>
            <w:webHidden/>
          </w:rPr>
          <w:fldChar w:fldCharType="begin"/>
        </w:r>
        <w:r w:rsidR="00BF1301">
          <w:rPr>
            <w:noProof/>
            <w:webHidden/>
          </w:rPr>
          <w:instrText xml:space="preserve"> PAGEREF _Toc235079798 \h </w:instrText>
        </w:r>
        <w:r w:rsidR="00BF1301">
          <w:rPr>
            <w:noProof/>
            <w:webHidden/>
          </w:rPr>
        </w:r>
        <w:r w:rsidR="00BF1301">
          <w:rPr>
            <w:noProof/>
            <w:webHidden/>
          </w:rPr>
          <w:fldChar w:fldCharType="separate"/>
        </w:r>
        <w:r w:rsidR="00D60E21">
          <w:rPr>
            <w:noProof/>
            <w:webHidden/>
          </w:rPr>
          <w:t>246</w:t>
        </w:r>
        <w:r w:rsidR="00BF1301">
          <w:rPr>
            <w:noProof/>
            <w:webHidden/>
          </w:rPr>
          <w:fldChar w:fldCharType="end"/>
        </w:r>
      </w:hyperlink>
    </w:p>
    <w:p w14:paraId="2FEB285E" w14:textId="2B11A976" w:rsidR="00BF1301" w:rsidRDefault="00B14886">
      <w:pPr>
        <w:pStyle w:val="Spistreci3"/>
        <w:tabs>
          <w:tab w:val="right" w:leader="dot" w:pos="9396"/>
        </w:tabs>
        <w:rPr>
          <w:rFonts w:eastAsiaTheme="minorEastAsia" w:cstheme="minorBidi"/>
          <w:noProof/>
          <w:sz w:val="22"/>
          <w:szCs w:val="22"/>
        </w:rPr>
      </w:pPr>
      <w:hyperlink w:anchor="_Toc235079799" w:history="1">
        <w:r w:rsidR="00BF1301" w:rsidRPr="004E5027">
          <w:rPr>
            <w:rStyle w:val="Hipercze"/>
            <w:rFonts w:ascii="Calibri" w:hAnsi="Calibri"/>
            <w:noProof/>
          </w:rPr>
          <w:t>Działanie FESL.06.05 Wsparcie edukacyjne społeczności objętych LSR</w:t>
        </w:r>
        <w:r w:rsidR="00BF1301">
          <w:rPr>
            <w:noProof/>
            <w:webHidden/>
          </w:rPr>
          <w:tab/>
        </w:r>
        <w:r w:rsidR="00BF1301">
          <w:rPr>
            <w:noProof/>
            <w:webHidden/>
          </w:rPr>
          <w:fldChar w:fldCharType="begin"/>
        </w:r>
        <w:r w:rsidR="00BF1301">
          <w:rPr>
            <w:noProof/>
            <w:webHidden/>
          </w:rPr>
          <w:instrText xml:space="preserve"> PAGEREF _Toc235079799 \h </w:instrText>
        </w:r>
        <w:r w:rsidR="00BF1301">
          <w:rPr>
            <w:noProof/>
            <w:webHidden/>
          </w:rPr>
        </w:r>
        <w:r w:rsidR="00BF1301">
          <w:rPr>
            <w:noProof/>
            <w:webHidden/>
          </w:rPr>
          <w:fldChar w:fldCharType="separate"/>
        </w:r>
        <w:r w:rsidR="00D60E21">
          <w:rPr>
            <w:noProof/>
            <w:webHidden/>
          </w:rPr>
          <w:t>251</w:t>
        </w:r>
        <w:r w:rsidR="00BF1301">
          <w:rPr>
            <w:noProof/>
            <w:webHidden/>
          </w:rPr>
          <w:fldChar w:fldCharType="end"/>
        </w:r>
      </w:hyperlink>
    </w:p>
    <w:p w14:paraId="6B785B83" w14:textId="6DE717E0" w:rsidR="00BF1301" w:rsidRDefault="00B14886">
      <w:pPr>
        <w:pStyle w:val="Spistreci3"/>
        <w:tabs>
          <w:tab w:val="right" w:leader="dot" w:pos="9396"/>
        </w:tabs>
        <w:rPr>
          <w:rFonts w:eastAsiaTheme="minorEastAsia" w:cstheme="minorBidi"/>
          <w:noProof/>
          <w:sz w:val="22"/>
          <w:szCs w:val="22"/>
        </w:rPr>
      </w:pPr>
      <w:hyperlink w:anchor="_Toc235079800" w:history="1">
        <w:r w:rsidR="00BF1301" w:rsidRPr="004E5027">
          <w:rPr>
            <w:rStyle w:val="Hipercze"/>
            <w:rFonts w:ascii="Calibri" w:hAnsi="Calibri"/>
            <w:noProof/>
          </w:rPr>
          <w:t>Działanie FESL.06.06 Kształcenie osób dorosłych - EFS+</w:t>
        </w:r>
        <w:r w:rsidR="00BF1301">
          <w:rPr>
            <w:noProof/>
            <w:webHidden/>
          </w:rPr>
          <w:tab/>
        </w:r>
        <w:r w:rsidR="00BF1301">
          <w:rPr>
            <w:noProof/>
            <w:webHidden/>
          </w:rPr>
          <w:fldChar w:fldCharType="begin"/>
        </w:r>
        <w:r w:rsidR="00BF1301">
          <w:rPr>
            <w:noProof/>
            <w:webHidden/>
          </w:rPr>
          <w:instrText xml:space="preserve"> PAGEREF _Toc235079800 \h </w:instrText>
        </w:r>
        <w:r w:rsidR="00BF1301">
          <w:rPr>
            <w:noProof/>
            <w:webHidden/>
          </w:rPr>
        </w:r>
        <w:r w:rsidR="00BF1301">
          <w:rPr>
            <w:noProof/>
            <w:webHidden/>
          </w:rPr>
          <w:fldChar w:fldCharType="separate"/>
        </w:r>
        <w:r w:rsidR="00D60E21">
          <w:rPr>
            <w:noProof/>
            <w:webHidden/>
          </w:rPr>
          <w:t>254</w:t>
        </w:r>
        <w:r w:rsidR="00BF1301">
          <w:rPr>
            <w:noProof/>
            <w:webHidden/>
          </w:rPr>
          <w:fldChar w:fldCharType="end"/>
        </w:r>
      </w:hyperlink>
    </w:p>
    <w:p w14:paraId="035BA7BB" w14:textId="6F2BB31F" w:rsidR="00BF1301" w:rsidRDefault="00B14886">
      <w:pPr>
        <w:pStyle w:val="Spistreci3"/>
        <w:tabs>
          <w:tab w:val="right" w:leader="dot" w:pos="9396"/>
        </w:tabs>
        <w:rPr>
          <w:rFonts w:eastAsiaTheme="minorEastAsia" w:cstheme="minorBidi"/>
          <w:noProof/>
          <w:sz w:val="22"/>
          <w:szCs w:val="22"/>
        </w:rPr>
      </w:pPr>
      <w:hyperlink w:anchor="_Toc235079801" w:history="1">
        <w:r w:rsidR="00BF1301" w:rsidRPr="004E5027">
          <w:rPr>
            <w:rStyle w:val="Hipercze"/>
            <w:rFonts w:ascii="Calibri" w:hAnsi="Calibri"/>
            <w:noProof/>
          </w:rPr>
          <w:t>Działanie FESL.06.07 Upskilling pathways - RLKS</w:t>
        </w:r>
        <w:r w:rsidR="00BF1301">
          <w:rPr>
            <w:noProof/>
            <w:webHidden/>
          </w:rPr>
          <w:tab/>
        </w:r>
        <w:r w:rsidR="00BF1301">
          <w:rPr>
            <w:noProof/>
            <w:webHidden/>
          </w:rPr>
          <w:fldChar w:fldCharType="begin"/>
        </w:r>
        <w:r w:rsidR="00BF1301">
          <w:rPr>
            <w:noProof/>
            <w:webHidden/>
          </w:rPr>
          <w:instrText xml:space="preserve"> PAGEREF _Toc235079801 \h </w:instrText>
        </w:r>
        <w:r w:rsidR="00BF1301">
          <w:rPr>
            <w:noProof/>
            <w:webHidden/>
          </w:rPr>
        </w:r>
        <w:r w:rsidR="00BF1301">
          <w:rPr>
            <w:noProof/>
            <w:webHidden/>
          </w:rPr>
          <w:fldChar w:fldCharType="separate"/>
        </w:r>
        <w:r w:rsidR="00D60E21">
          <w:rPr>
            <w:noProof/>
            <w:webHidden/>
          </w:rPr>
          <w:t>258</w:t>
        </w:r>
        <w:r w:rsidR="00BF1301">
          <w:rPr>
            <w:noProof/>
            <w:webHidden/>
          </w:rPr>
          <w:fldChar w:fldCharType="end"/>
        </w:r>
      </w:hyperlink>
    </w:p>
    <w:p w14:paraId="6E3E5D37" w14:textId="24D02D32" w:rsidR="00BF1301" w:rsidRDefault="00B14886">
      <w:pPr>
        <w:pStyle w:val="Spistreci3"/>
        <w:tabs>
          <w:tab w:val="right" w:leader="dot" w:pos="9396"/>
        </w:tabs>
        <w:rPr>
          <w:rFonts w:eastAsiaTheme="minorEastAsia" w:cstheme="minorBidi"/>
          <w:noProof/>
          <w:sz w:val="22"/>
          <w:szCs w:val="22"/>
        </w:rPr>
      </w:pPr>
      <w:hyperlink w:anchor="_Toc235079802" w:history="1">
        <w:r w:rsidR="00BF1301" w:rsidRPr="004E5027">
          <w:rPr>
            <w:rStyle w:val="Hipercze"/>
            <w:rFonts w:ascii="Calibri" w:hAnsi="Calibri"/>
            <w:noProof/>
          </w:rPr>
          <w:t>Działanie FESL.06.08 Upskilling pathways</w:t>
        </w:r>
        <w:r w:rsidR="00BF1301">
          <w:rPr>
            <w:noProof/>
            <w:webHidden/>
          </w:rPr>
          <w:tab/>
        </w:r>
        <w:r w:rsidR="00BF1301">
          <w:rPr>
            <w:noProof/>
            <w:webHidden/>
          </w:rPr>
          <w:fldChar w:fldCharType="begin"/>
        </w:r>
        <w:r w:rsidR="00BF1301">
          <w:rPr>
            <w:noProof/>
            <w:webHidden/>
          </w:rPr>
          <w:instrText xml:space="preserve"> PAGEREF _Toc235079802 \h </w:instrText>
        </w:r>
        <w:r w:rsidR="00BF1301">
          <w:rPr>
            <w:noProof/>
            <w:webHidden/>
          </w:rPr>
        </w:r>
        <w:r w:rsidR="00BF1301">
          <w:rPr>
            <w:noProof/>
            <w:webHidden/>
          </w:rPr>
          <w:fldChar w:fldCharType="separate"/>
        </w:r>
        <w:r w:rsidR="00D60E21">
          <w:rPr>
            <w:noProof/>
            <w:webHidden/>
          </w:rPr>
          <w:t>263</w:t>
        </w:r>
        <w:r w:rsidR="00BF1301">
          <w:rPr>
            <w:noProof/>
            <w:webHidden/>
          </w:rPr>
          <w:fldChar w:fldCharType="end"/>
        </w:r>
      </w:hyperlink>
    </w:p>
    <w:p w14:paraId="698AEE3B" w14:textId="1D19FF7E" w:rsidR="00BF1301" w:rsidRDefault="00B14886">
      <w:pPr>
        <w:pStyle w:val="Spistreci3"/>
        <w:tabs>
          <w:tab w:val="right" w:leader="dot" w:pos="9396"/>
        </w:tabs>
        <w:rPr>
          <w:rFonts w:eastAsiaTheme="minorEastAsia" w:cstheme="minorBidi"/>
          <w:noProof/>
          <w:sz w:val="22"/>
          <w:szCs w:val="22"/>
        </w:rPr>
      </w:pPr>
      <w:hyperlink w:anchor="_Toc235079803" w:history="1">
        <w:r w:rsidR="00BF1301" w:rsidRPr="004E5027">
          <w:rPr>
            <w:rStyle w:val="Hipercze"/>
            <w:rFonts w:ascii="Calibri" w:hAnsi="Calibri"/>
            <w:noProof/>
          </w:rPr>
          <w:t>Działanie FESL.06.09 Lokalne Ośrodki Wiedzy i Edukacji - LOWE</w:t>
        </w:r>
        <w:r w:rsidR="00BF1301">
          <w:rPr>
            <w:noProof/>
            <w:webHidden/>
          </w:rPr>
          <w:tab/>
        </w:r>
        <w:r w:rsidR="00BF1301">
          <w:rPr>
            <w:noProof/>
            <w:webHidden/>
          </w:rPr>
          <w:fldChar w:fldCharType="begin"/>
        </w:r>
        <w:r w:rsidR="00BF1301">
          <w:rPr>
            <w:noProof/>
            <w:webHidden/>
          </w:rPr>
          <w:instrText xml:space="preserve"> PAGEREF _Toc235079803 \h </w:instrText>
        </w:r>
        <w:r w:rsidR="00BF1301">
          <w:rPr>
            <w:noProof/>
            <w:webHidden/>
          </w:rPr>
        </w:r>
        <w:r w:rsidR="00BF1301">
          <w:rPr>
            <w:noProof/>
            <w:webHidden/>
          </w:rPr>
          <w:fldChar w:fldCharType="separate"/>
        </w:r>
        <w:r w:rsidR="00D60E21">
          <w:rPr>
            <w:noProof/>
            <w:webHidden/>
          </w:rPr>
          <w:t>267</w:t>
        </w:r>
        <w:r w:rsidR="00BF1301">
          <w:rPr>
            <w:noProof/>
            <w:webHidden/>
          </w:rPr>
          <w:fldChar w:fldCharType="end"/>
        </w:r>
      </w:hyperlink>
    </w:p>
    <w:p w14:paraId="11E232F7" w14:textId="7478DCF7" w:rsidR="00BF1301" w:rsidRDefault="00B14886">
      <w:pPr>
        <w:pStyle w:val="Spistreci2"/>
        <w:tabs>
          <w:tab w:val="right" w:leader="dot" w:pos="9396"/>
        </w:tabs>
        <w:rPr>
          <w:rFonts w:eastAsiaTheme="minorEastAsia" w:cstheme="minorBidi"/>
          <w:noProof/>
          <w:sz w:val="22"/>
          <w:szCs w:val="22"/>
        </w:rPr>
      </w:pPr>
      <w:hyperlink w:anchor="_Toc235079804" w:history="1">
        <w:r w:rsidR="00BF1301" w:rsidRPr="004E5027">
          <w:rPr>
            <w:rStyle w:val="Hipercze"/>
            <w:rFonts w:ascii="Calibri" w:hAnsi="Calibri"/>
            <w:noProof/>
          </w:rPr>
          <w:t>Priorytet FESL.07 Fundusze Europejskie dla społeczeństwa</w:t>
        </w:r>
        <w:r w:rsidR="00BF1301">
          <w:rPr>
            <w:noProof/>
            <w:webHidden/>
          </w:rPr>
          <w:tab/>
        </w:r>
        <w:r w:rsidR="00BF1301">
          <w:rPr>
            <w:noProof/>
            <w:webHidden/>
          </w:rPr>
          <w:fldChar w:fldCharType="begin"/>
        </w:r>
        <w:r w:rsidR="00BF1301">
          <w:rPr>
            <w:noProof/>
            <w:webHidden/>
          </w:rPr>
          <w:instrText xml:space="preserve"> PAGEREF _Toc235079804 \h </w:instrText>
        </w:r>
        <w:r w:rsidR="00BF1301">
          <w:rPr>
            <w:noProof/>
            <w:webHidden/>
          </w:rPr>
        </w:r>
        <w:r w:rsidR="00BF1301">
          <w:rPr>
            <w:noProof/>
            <w:webHidden/>
          </w:rPr>
          <w:fldChar w:fldCharType="separate"/>
        </w:r>
        <w:r w:rsidR="00D60E21">
          <w:rPr>
            <w:noProof/>
            <w:webHidden/>
          </w:rPr>
          <w:t>271</w:t>
        </w:r>
        <w:r w:rsidR="00BF1301">
          <w:rPr>
            <w:noProof/>
            <w:webHidden/>
          </w:rPr>
          <w:fldChar w:fldCharType="end"/>
        </w:r>
      </w:hyperlink>
    </w:p>
    <w:p w14:paraId="2DC9E5EE" w14:textId="3AD66D4B" w:rsidR="00BF1301" w:rsidRDefault="00B14886">
      <w:pPr>
        <w:pStyle w:val="Spistreci3"/>
        <w:tabs>
          <w:tab w:val="right" w:leader="dot" w:pos="9396"/>
        </w:tabs>
        <w:rPr>
          <w:rFonts w:eastAsiaTheme="minorEastAsia" w:cstheme="minorBidi"/>
          <w:noProof/>
          <w:sz w:val="22"/>
          <w:szCs w:val="22"/>
        </w:rPr>
      </w:pPr>
      <w:hyperlink w:anchor="_Toc235079805" w:history="1">
        <w:r w:rsidR="00BF1301" w:rsidRPr="004E5027">
          <w:rPr>
            <w:rStyle w:val="Hipercze"/>
            <w:rFonts w:ascii="Calibri" w:hAnsi="Calibri"/>
            <w:noProof/>
          </w:rPr>
          <w:t>Działanie FESL.07.01 Ekonomia społeczna</w:t>
        </w:r>
        <w:r w:rsidR="00BF1301">
          <w:rPr>
            <w:noProof/>
            <w:webHidden/>
          </w:rPr>
          <w:tab/>
        </w:r>
        <w:r w:rsidR="00BF1301">
          <w:rPr>
            <w:noProof/>
            <w:webHidden/>
          </w:rPr>
          <w:fldChar w:fldCharType="begin"/>
        </w:r>
        <w:r w:rsidR="00BF1301">
          <w:rPr>
            <w:noProof/>
            <w:webHidden/>
          </w:rPr>
          <w:instrText xml:space="preserve"> PAGEREF _Toc235079805 \h </w:instrText>
        </w:r>
        <w:r w:rsidR="00BF1301">
          <w:rPr>
            <w:noProof/>
            <w:webHidden/>
          </w:rPr>
        </w:r>
        <w:r w:rsidR="00BF1301">
          <w:rPr>
            <w:noProof/>
            <w:webHidden/>
          </w:rPr>
          <w:fldChar w:fldCharType="separate"/>
        </w:r>
        <w:r w:rsidR="00D60E21">
          <w:rPr>
            <w:noProof/>
            <w:webHidden/>
          </w:rPr>
          <w:t>272</w:t>
        </w:r>
        <w:r w:rsidR="00BF1301">
          <w:rPr>
            <w:noProof/>
            <w:webHidden/>
          </w:rPr>
          <w:fldChar w:fldCharType="end"/>
        </w:r>
      </w:hyperlink>
    </w:p>
    <w:p w14:paraId="358697C7" w14:textId="5BC11A22" w:rsidR="00BF1301" w:rsidRDefault="00B14886">
      <w:pPr>
        <w:pStyle w:val="Spistreci3"/>
        <w:tabs>
          <w:tab w:val="right" w:leader="dot" w:pos="9396"/>
        </w:tabs>
        <w:rPr>
          <w:rFonts w:eastAsiaTheme="minorEastAsia" w:cstheme="minorBidi"/>
          <w:noProof/>
          <w:sz w:val="22"/>
          <w:szCs w:val="22"/>
        </w:rPr>
      </w:pPr>
      <w:hyperlink w:anchor="_Toc235079806" w:history="1">
        <w:r w:rsidR="00BF1301" w:rsidRPr="004E5027">
          <w:rPr>
            <w:rStyle w:val="Hipercze"/>
            <w:rFonts w:ascii="Calibri" w:hAnsi="Calibri"/>
            <w:noProof/>
          </w:rPr>
          <w:t>Działanie FESL.07.02 Aktywna integracja</w:t>
        </w:r>
        <w:r w:rsidR="00BF1301">
          <w:rPr>
            <w:noProof/>
            <w:webHidden/>
          </w:rPr>
          <w:tab/>
        </w:r>
        <w:r w:rsidR="00BF1301">
          <w:rPr>
            <w:noProof/>
            <w:webHidden/>
          </w:rPr>
          <w:fldChar w:fldCharType="begin"/>
        </w:r>
        <w:r w:rsidR="00BF1301">
          <w:rPr>
            <w:noProof/>
            <w:webHidden/>
          </w:rPr>
          <w:instrText xml:space="preserve"> PAGEREF _Toc235079806 \h </w:instrText>
        </w:r>
        <w:r w:rsidR="00BF1301">
          <w:rPr>
            <w:noProof/>
            <w:webHidden/>
          </w:rPr>
        </w:r>
        <w:r w:rsidR="00BF1301">
          <w:rPr>
            <w:noProof/>
            <w:webHidden/>
          </w:rPr>
          <w:fldChar w:fldCharType="separate"/>
        </w:r>
        <w:r w:rsidR="00D60E21">
          <w:rPr>
            <w:noProof/>
            <w:webHidden/>
          </w:rPr>
          <w:t>276</w:t>
        </w:r>
        <w:r w:rsidR="00BF1301">
          <w:rPr>
            <w:noProof/>
            <w:webHidden/>
          </w:rPr>
          <w:fldChar w:fldCharType="end"/>
        </w:r>
      </w:hyperlink>
    </w:p>
    <w:p w14:paraId="07798F9A" w14:textId="1FBE2AA6" w:rsidR="00BF1301" w:rsidRDefault="00B14886">
      <w:pPr>
        <w:pStyle w:val="Spistreci3"/>
        <w:tabs>
          <w:tab w:val="right" w:leader="dot" w:pos="9396"/>
        </w:tabs>
        <w:rPr>
          <w:rFonts w:eastAsiaTheme="minorEastAsia" w:cstheme="minorBidi"/>
          <w:noProof/>
          <w:sz w:val="22"/>
          <w:szCs w:val="22"/>
        </w:rPr>
      </w:pPr>
      <w:hyperlink w:anchor="_Toc235079807" w:history="1">
        <w:r w:rsidR="00BF1301" w:rsidRPr="004E5027">
          <w:rPr>
            <w:rStyle w:val="Hipercze"/>
            <w:rFonts w:ascii="Calibri" w:hAnsi="Calibri"/>
            <w:noProof/>
          </w:rPr>
          <w:t>Działanie FESL.07.03 Integracja społeczno - gospodarcza cudzoziemców</w:t>
        </w:r>
        <w:r w:rsidR="00BF1301">
          <w:rPr>
            <w:noProof/>
            <w:webHidden/>
          </w:rPr>
          <w:tab/>
        </w:r>
        <w:r w:rsidR="00BF1301">
          <w:rPr>
            <w:noProof/>
            <w:webHidden/>
          </w:rPr>
          <w:fldChar w:fldCharType="begin"/>
        </w:r>
        <w:r w:rsidR="00BF1301">
          <w:rPr>
            <w:noProof/>
            <w:webHidden/>
          </w:rPr>
          <w:instrText xml:space="preserve"> PAGEREF _Toc235079807 \h </w:instrText>
        </w:r>
        <w:r w:rsidR="00BF1301">
          <w:rPr>
            <w:noProof/>
            <w:webHidden/>
          </w:rPr>
        </w:r>
        <w:r w:rsidR="00BF1301">
          <w:rPr>
            <w:noProof/>
            <w:webHidden/>
          </w:rPr>
          <w:fldChar w:fldCharType="separate"/>
        </w:r>
        <w:r w:rsidR="00D60E21">
          <w:rPr>
            <w:noProof/>
            <w:webHidden/>
          </w:rPr>
          <w:t>280</w:t>
        </w:r>
        <w:r w:rsidR="00BF1301">
          <w:rPr>
            <w:noProof/>
            <w:webHidden/>
          </w:rPr>
          <w:fldChar w:fldCharType="end"/>
        </w:r>
      </w:hyperlink>
    </w:p>
    <w:p w14:paraId="5D86C668" w14:textId="3763983F" w:rsidR="00BF1301" w:rsidRDefault="00B14886">
      <w:pPr>
        <w:pStyle w:val="Spistreci3"/>
        <w:tabs>
          <w:tab w:val="right" w:leader="dot" w:pos="9396"/>
        </w:tabs>
        <w:rPr>
          <w:rFonts w:eastAsiaTheme="minorEastAsia" w:cstheme="minorBidi"/>
          <w:noProof/>
          <w:sz w:val="22"/>
          <w:szCs w:val="22"/>
        </w:rPr>
      </w:pPr>
      <w:hyperlink w:anchor="_Toc235079808" w:history="1">
        <w:r w:rsidR="00BF1301" w:rsidRPr="004E5027">
          <w:rPr>
            <w:rStyle w:val="Hipercze"/>
            <w:rFonts w:ascii="Calibri" w:hAnsi="Calibri"/>
            <w:noProof/>
          </w:rPr>
          <w:t>Działanie FESL.07.04 Usługi społeczne</w:t>
        </w:r>
        <w:r w:rsidR="00BF1301">
          <w:rPr>
            <w:noProof/>
            <w:webHidden/>
          </w:rPr>
          <w:tab/>
        </w:r>
        <w:r w:rsidR="00BF1301">
          <w:rPr>
            <w:noProof/>
            <w:webHidden/>
          </w:rPr>
          <w:fldChar w:fldCharType="begin"/>
        </w:r>
        <w:r w:rsidR="00BF1301">
          <w:rPr>
            <w:noProof/>
            <w:webHidden/>
          </w:rPr>
          <w:instrText xml:space="preserve"> PAGEREF _Toc235079808 \h </w:instrText>
        </w:r>
        <w:r w:rsidR="00BF1301">
          <w:rPr>
            <w:noProof/>
            <w:webHidden/>
          </w:rPr>
        </w:r>
        <w:r w:rsidR="00BF1301">
          <w:rPr>
            <w:noProof/>
            <w:webHidden/>
          </w:rPr>
          <w:fldChar w:fldCharType="separate"/>
        </w:r>
        <w:r w:rsidR="00D60E21">
          <w:rPr>
            <w:noProof/>
            <w:webHidden/>
          </w:rPr>
          <w:t>285</w:t>
        </w:r>
        <w:r w:rsidR="00BF1301">
          <w:rPr>
            <w:noProof/>
            <w:webHidden/>
          </w:rPr>
          <w:fldChar w:fldCharType="end"/>
        </w:r>
      </w:hyperlink>
    </w:p>
    <w:p w14:paraId="16767E38" w14:textId="2B1B689A" w:rsidR="00BF1301" w:rsidRDefault="00B14886">
      <w:pPr>
        <w:pStyle w:val="Spistreci3"/>
        <w:tabs>
          <w:tab w:val="right" w:leader="dot" w:pos="9396"/>
        </w:tabs>
        <w:rPr>
          <w:rFonts w:eastAsiaTheme="minorEastAsia" w:cstheme="minorBidi"/>
          <w:noProof/>
          <w:sz w:val="22"/>
          <w:szCs w:val="22"/>
        </w:rPr>
      </w:pPr>
      <w:hyperlink w:anchor="_Toc235079809" w:history="1">
        <w:r w:rsidR="00BF1301" w:rsidRPr="004E5027">
          <w:rPr>
            <w:rStyle w:val="Hipercze"/>
            <w:rFonts w:ascii="Calibri" w:hAnsi="Calibri"/>
            <w:noProof/>
          </w:rPr>
          <w:t>Działanie FESL.07.05 Strategiczne projekty dla obszaru usług społecznych</w:t>
        </w:r>
        <w:r w:rsidR="00BF1301">
          <w:rPr>
            <w:noProof/>
            <w:webHidden/>
          </w:rPr>
          <w:tab/>
        </w:r>
        <w:r w:rsidR="00BF1301">
          <w:rPr>
            <w:noProof/>
            <w:webHidden/>
          </w:rPr>
          <w:fldChar w:fldCharType="begin"/>
        </w:r>
        <w:r w:rsidR="00BF1301">
          <w:rPr>
            <w:noProof/>
            <w:webHidden/>
          </w:rPr>
          <w:instrText xml:space="preserve"> PAGEREF _Toc235079809 \h </w:instrText>
        </w:r>
        <w:r w:rsidR="00BF1301">
          <w:rPr>
            <w:noProof/>
            <w:webHidden/>
          </w:rPr>
        </w:r>
        <w:r w:rsidR="00BF1301">
          <w:rPr>
            <w:noProof/>
            <w:webHidden/>
          </w:rPr>
          <w:fldChar w:fldCharType="separate"/>
        </w:r>
        <w:r w:rsidR="00D60E21">
          <w:rPr>
            <w:noProof/>
            <w:webHidden/>
          </w:rPr>
          <w:t>290</w:t>
        </w:r>
        <w:r w:rsidR="00BF1301">
          <w:rPr>
            <w:noProof/>
            <w:webHidden/>
          </w:rPr>
          <w:fldChar w:fldCharType="end"/>
        </w:r>
      </w:hyperlink>
    </w:p>
    <w:p w14:paraId="5AD4D62D" w14:textId="75181234" w:rsidR="00BF1301" w:rsidRDefault="00B14886">
      <w:pPr>
        <w:pStyle w:val="Spistreci3"/>
        <w:tabs>
          <w:tab w:val="right" w:leader="dot" w:pos="9396"/>
        </w:tabs>
        <w:rPr>
          <w:rFonts w:eastAsiaTheme="minorEastAsia" w:cstheme="minorBidi"/>
          <w:noProof/>
          <w:sz w:val="22"/>
          <w:szCs w:val="22"/>
        </w:rPr>
      </w:pPr>
      <w:hyperlink w:anchor="_Toc235079810" w:history="1">
        <w:r w:rsidR="00BF1301" w:rsidRPr="004E5027">
          <w:rPr>
            <w:rStyle w:val="Hipercze"/>
            <w:rFonts w:ascii="Calibri" w:hAnsi="Calibri"/>
            <w:noProof/>
          </w:rPr>
          <w:t>Działanie FESL.07.06 Ochrona zdrowia</w:t>
        </w:r>
        <w:r w:rsidR="00BF1301">
          <w:rPr>
            <w:noProof/>
            <w:webHidden/>
          </w:rPr>
          <w:tab/>
        </w:r>
        <w:r w:rsidR="00BF1301">
          <w:rPr>
            <w:noProof/>
            <w:webHidden/>
          </w:rPr>
          <w:fldChar w:fldCharType="begin"/>
        </w:r>
        <w:r w:rsidR="00BF1301">
          <w:rPr>
            <w:noProof/>
            <w:webHidden/>
          </w:rPr>
          <w:instrText xml:space="preserve"> PAGEREF _Toc235079810 \h </w:instrText>
        </w:r>
        <w:r w:rsidR="00BF1301">
          <w:rPr>
            <w:noProof/>
            <w:webHidden/>
          </w:rPr>
        </w:r>
        <w:r w:rsidR="00BF1301">
          <w:rPr>
            <w:noProof/>
            <w:webHidden/>
          </w:rPr>
          <w:fldChar w:fldCharType="separate"/>
        </w:r>
        <w:r w:rsidR="00D60E21">
          <w:rPr>
            <w:noProof/>
            <w:webHidden/>
          </w:rPr>
          <w:t>293</w:t>
        </w:r>
        <w:r w:rsidR="00BF1301">
          <w:rPr>
            <w:noProof/>
            <w:webHidden/>
          </w:rPr>
          <w:fldChar w:fldCharType="end"/>
        </w:r>
      </w:hyperlink>
    </w:p>
    <w:p w14:paraId="32296027" w14:textId="2C493BF3" w:rsidR="00BF1301" w:rsidRDefault="00B14886">
      <w:pPr>
        <w:pStyle w:val="Spistreci3"/>
        <w:tabs>
          <w:tab w:val="right" w:leader="dot" w:pos="9396"/>
        </w:tabs>
        <w:rPr>
          <w:rFonts w:eastAsiaTheme="minorEastAsia" w:cstheme="minorBidi"/>
          <w:noProof/>
          <w:sz w:val="22"/>
          <w:szCs w:val="22"/>
        </w:rPr>
      </w:pPr>
      <w:hyperlink w:anchor="_Toc235079811" w:history="1">
        <w:r w:rsidR="00BF1301" w:rsidRPr="004E5027">
          <w:rPr>
            <w:rStyle w:val="Hipercze"/>
            <w:rFonts w:ascii="Calibri" w:hAnsi="Calibri"/>
            <w:noProof/>
          </w:rPr>
          <w:t>Działanie FESL.07.07 Wsparcie rodziny, dzieci i młodzieży oraz deinstytucjonalizacja pieczy zastępczej</w:t>
        </w:r>
        <w:r w:rsidR="00BF1301">
          <w:rPr>
            <w:noProof/>
            <w:webHidden/>
          </w:rPr>
          <w:tab/>
        </w:r>
        <w:r w:rsidR="00BF1301">
          <w:rPr>
            <w:noProof/>
            <w:webHidden/>
          </w:rPr>
          <w:fldChar w:fldCharType="begin"/>
        </w:r>
        <w:r w:rsidR="00BF1301">
          <w:rPr>
            <w:noProof/>
            <w:webHidden/>
          </w:rPr>
          <w:instrText xml:space="preserve"> PAGEREF _Toc235079811 \h </w:instrText>
        </w:r>
        <w:r w:rsidR="00BF1301">
          <w:rPr>
            <w:noProof/>
            <w:webHidden/>
          </w:rPr>
        </w:r>
        <w:r w:rsidR="00BF1301">
          <w:rPr>
            <w:noProof/>
            <w:webHidden/>
          </w:rPr>
          <w:fldChar w:fldCharType="separate"/>
        </w:r>
        <w:r w:rsidR="00D60E21">
          <w:rPr>
            <w:noProof/>
            <w:webHidden/>
          </w:rPr>
          <w:t>298</w:t>
        </w:r>
        <w:r w:rsidR="00BF1301">
          <w:rPr>
            <w:noProof/>
            <w:webHidden/>
          </w:rPr>
          <w:fldChar w:fldCharType="end"/>
        </w:r>
      </w:hyperlink>
    </w:p>
    <w:p w14:paraId="785A8FE8" w14:textId="22F8A74B" w:rsidR="00BF1301" w:rsidRDefault="00B14886">
      <w:pPr>
        <w:pStyle w:val="Spistreci3"/>
        <w:tabs>
          <w:tab w:val="right" w:leader="dot" w:pos="9396"/>
        </w:tabs>
        <w:rPr>
          <w:rFonts w:eastAsiaTheme="minorEastAsia" w:cstheme="minorBidi"/>
          <w:noProof/>
          <w:sz w:val="22"/>
          <w:szCs w:val="22"/>
        </w:rPr>
      </w:pPr>
      <w:hyperlink w:anchor="_Toc235079812" w:history="1">
        <w:r w:rsidR="00BF1301" w:rsidRPr="004E5027">
          <w:rPr>
            <w:rStyle w:val="Hipercze"/>
            <w:rFonts w:ascii="Calibri" w:hAnsi="Calibri"/>
            <w:noProof/>
          </w:rPr>
          <w:t>Działanie FESL.07.08 Strategiczne projekty dla obszaru wsparcia rodziny</w:t>
        </w:r>
        <w:r w:rsidR="00BF1301">
          <w:rPr>
            <w:noProof/>
            <w:webHidden/>
          </w:rPr>
          <w:tab/>
        </w:r>
        <w:r w:rsidR="00BF1301">
          <w:rPr>
            <w:noProof/>
            <w:webHidden/>
          </w:rPr>
          <w:fldChar w:fldCharType="begin"/>
        </w:r>
        <w:r w:rsidR="00BF1301">
          <w:rPr>
            <w:noProof/>
            <w:webHidden/>
          </w:rPr>
          <w:instrText xml:space="preserve"> PAGEREF _Toc235079812 \h </w:instrText>
        </w:r>
        <w:r w:rsidR="00BF1301">
          <w:rPr>
            <w:noProof/>
            <w:webHidden/>
          </w:rPr>
        </w:r>
        <w:r w:rsidR="00BF1301">
          <w:rPr>
            <w:noProof/>
            <w:webHidden/>
          </w:rPr>
          <w:fldChar w:fldCharType="separate"/>
        </w:r>
        <w:r w:rsidR="00D60E21">
          <w:rPr>
            <w:noProof/>
            <w:webHidden/>
          </w:rPr>
          <w:t>304</w:t>
        </w:r>
        <w:r w:rsidR="00BF1301">
          <w:rPr>
            <w:noProof/>
            <w:webHidden/>
          </w:rPr>
          <w:fldChar w:fldCharType="end"/>
        </w:r>
      </w:hyperlink>
    </w:p>
    <w:p w14:paraId="454FAC05" w14:textId="259B905E" w:rsidR="00BF1301" w:rsidRDefault="00B14886">
      <w:pPr>
        <w:pStyle w:val="Spistreci3"/>
        <w:tabs>
          <w:tab w:val="right" w:leader="dot" w:pos="9396"/>
        </w:tabs>
        <w:rPr>
          <w:rFonts w:eastAsiaTheme="minorEastAsia" w:cstheme="minorBidi"/>
          <w:noProof/>
          <w:sz w:val="22"/>
          <w:szCs w:val="22"/>
        </w:rPr>
      </w:pPr>
      <w:hyperlink w:anchor="_Toc235079813" w:history="1">
        <w:r w:rsidR="00BF1301" w:rsidRPr="004E5027">
          <w:rPr>
            <w:rStyle w:val="Hipercze"/>
            <w:rFonts w:ascii="Calibri" w:hAnsi="Calibri"/>
            <w:noProof/>
          </w:rPr>
          <w:t>Działanie FESL.07.09 Usługi dla osób w kryzysie bezdomności, dotkniętych wykluczeniem z dostępu do mieszkań lub zagrożonych bezdomnością</w:t>
        </w:r>
        <w:r w:rsidR="00BF1301">
          <w:rPr>
            <w:noProof/>
            <w:webHidden/>
          </w:rPr>
          <w:tab/>
        </w:r>
        <w:r w:rsidR="00BF1301">
          <w:rPr>
            <w:noProof/>
            <w:webHidden/>
          </w:rPr>
          <w:fldChar w:fldCharType="begin"/>
        </w:r>
        <w:r w:rsidR="00BF1301">
          <w:rPr>
            <w:noProof/>
            <w:webHidden/>
          </w:rPr>
          <w:instrText xml:space="preserve"> PAGEREF _Toc235079813 \h </w:instrText>
        </w:r>
        <w:r w:rsidR="00BF1301">
          <w:rPr>
            <w:noProof/>
            <w:webHidden/>
          </w:rPr>
        </w:r>
        <w:r w:rsidR="00BF1301">
          <w:rPr>
            <w:noProof/>
            <w:webHidden/>
          </w:rPr>
          <w:fldChar w:fldCharType="separate"/>
        </w:r>
        <w:r w:rsidR="00D60E21">
          <w:rPr>
            <w:noProof/>
            <w:webHidden/>
          </w:rPr>
          <w:t>308</w:t>
        </w:r>
        <w:r w:rsidR="00BF1301">
          <w:rPr>
            <w:noProof/>
            <w:webHidden/>
          </w:rPr>
          <w:fldChar w:fldCharType="end"/>
        </w:r>
      </w:hyperlink>
    </w:p>
    <w:p w14:paraId="1C8715A8" w14:textId="41125F4D" w:rsidR="00BF1301" w:rsidRDefault="00B14886">
      <w:pPr>
        <w:pStyle w:val="Spistreci3"/>
        <w:tabs>
          <w:tab w:val="right" w:leader="dot" w:pos="9396"/>
        </w:tabs>
        <w:rPr>
          <w:rFonts w:eastAsiaTheme="minorEastAsia" w:cstheme="minorBidi"/>
          <w:noProof/>
          <w:sz w:val="22"/>
          <w:szCs w:val="22"/>
        </w:rPr>
      </w:pPr>
      <w:hyperlink w:anchor="_Toc235079814" w:history="1">
        <w:r w:rsidR="00BF1301" w:rsidRPr="004E5027">
          <w:rPr>
            <w:rStyle w:val="Hipercze"/>
            <w:rFonts w:ascii="Calibri" w:hAnsi="Calibri"/>
            <w:noProof/>
          </w:rPr>
          <w:t>Działanie FESL.07.10 Wsparcie społeczności objętych LSR</w:t>
        </w:r>
        <w:r w:rsidR="00BF1301">
          <w:rPr>
            <w:noProof/>
            <w:webHidden/>
          </w:rPr>
          <w:tab/>
        </w:r>
        <w:r w:rsidR="00BF1301">
          <w:rPr>
            <w:noProof/>
            <w:webHidden/>
          </w:rPr>
          <w:fldChar w:fldCharType="begin"/>
        </w:r>
        <w:r w:rsidR="00BF1301">
          <w:rPr>
            <w:noProof/>
            <w:webHidden/>
          </w:rPr>
          <w:instrText xml:space="preserve"> PAGEREF _Toc235079814 \h </w:instrText>
        </w:r>
        <w:r w:rsidR="00BF1301">
          <w:rPr>
            <w:noProof/>
            <w:webHidden/>
          </w:rPr>
        </w:r>
        <w:r w:rsidR="00BF1301">
          <w:rPr>
            <w:noProof/>
            <w:webHidden/>
          </w:rPr>
          <w:fldChar w:fldCharType="separate"/>
        </w:r>
        <w:r w:rsidR="00D60E21">
          <w:rPr>
            <w:noProof/>
            <w:webHidden/>
          </w:rPr>
          <w:t>312</w:t>
        </w:r>
        <w:r w:rsidR="00BF1301">
          <w:rPr>
            <w:noProof/>
            <w:webHidden/>
          </w:rPr>
          <w:fldChar w:fldCharType="end"/>
        </w:r>
      </w:hyperlink>
    </w:p>
    <w:p w14:paraId="05569FB5" w14:textId="1B3DE03F" w:rsidR="00BF1301" w:rsidRDefault="00B14886">
      <w:pPr>
        <w:pStyle w:val="Spistreci3"/>
        <w:tabs>
          <w:tab w:val="right" w:leader="dot" w:pos="9396"/>
        </w:tabs>
        <w:rPr>
          <w:rFonts w:eastAsiaTheme="minorEastAsia" w:cstheme="minorBidi"/>
          <w:noProof/>
          <w:sz w:val="22"/>
          <w:szCs w:val="22"/>
        </w:rPr>
      </w:pPr>
      <w:hyperlink w:anchor="_Toc235079815" w:history="1">
        <w:r w:rsidR="00BF1301" w:rsidRPr="004E5027">
          <w:rPr>
            <w:rStyle w:val="Hipercze"/>
            <w:rFonts w:ascii="Calibri" w:hAnsi="Calibri"/>
            <w:noProof/>
          </w:rPr>
          <w:t>Działanie FESL.07.11 Wsparcie społeczności mniejszościowych, w tym społeczności romskich</w:t>
        </w:r>
        <w:r w:rsidR="00BF1301">
          <w:rPr>
            <w:noProof/>
            <w:webHidden/>
          </w:rPr>
          <w:tab/>
        </w:r>
        <w:r w:rsidR="00BF1301">
          <w:rPr>
            <w:noProof/>
            <w:webHidden/>
          </w:rPr>
          <w:fldChar w:fldCharType="begin"/>
        </w:r>
        <w:r w:rsidR="00BF1301">
          <w:rPr>
            <w:noProof/>
            <w:webHidden/>
          </w:rPr>
          <w:instrText xml:space="preserve"> PAGEREF _Toc235079815 \h </w:instrText>
        </w:r>
        <w:r w:rsidR="00BF1301">
          <w:rPr>
            <w:noProof/>
            <w:webHidden/>
          </w:rPr>
        </w:r>
        <w:r w:rsidR="00BF1301">
          <w:rPr>
            <w:noProof/>
            <w:webHidden/>
          </w:rPr>
          <w:fldChar w:fldCharType="separate"/>
        </w:r>
        <w:r w:rsidR="00D60E21">
          <w:rPr>
            <w:noProof/>
            <w:webHidden/>
          </w:rPr>
          <w:t>316</w:t>
        </w:r>
        <w:r w:rsidR="00BF1301">
          <w:rPr>
            <w:noProof/>
            <w:webHidden/>
          </w:rPr>
          <w:fldChar w:fldCharType="end"/>
        </w:r>
      </w:hyperlink>
    </w:p>
    <w:p w14:paraId="673995C7" w14:textId="6CA3BEC4" w:rsidR="00BF1301" w:rsidRDefault="00B14886">
      <w:pPr>
        <w:pStyle w:val="Spistreci3"/>
        <w:tabs>
          <w:tab w:val="right" w:leader="dot" w:pos="9396"/>
        </w:tabs>
        <w:rPr>
          <w:rFonts w:eastAsiaTheme="minorEastAsia" w:cstheme="minorBidi"/>
          <w:noProof/>
          <w:sz w:val="22"/>
          <w:szCs w:val="22"/>
        </w:rPr>
      </w:pPr>
      <w:hyperlink w:anchor="_Toc235079816" w:history="1">
        <w:r w:rsidR="00BF1301" w:rsidRPr="004E5027">
          <w:rPr>
            <w:rStyle w:val="Hipercze"/>
            <w:rFonts w:ascii="Calibri" w:hAnsi="Calibri"/>
            <w:noProof/>
          </w:rPr>
          <w:t>Działanie FESL.07.12 Rozwój dialogu obywatelskiego</w:t>
        </w:r>
        <w:r w:rsidR="00BF1301">
          <w:rPr>
            <w:noProof/>
            <w:webHidden/>
          </w:rPr>
          <w:tab/>
        </w:r>
        <w:r w:rsidR="00BF1301">
          <w:rPr>
            <w:noProof/>
            <w:webHidden/>
          </w:rPr>
          <w:fldChar w:fldCharType="begin"/>
        </w:r>
        <w:r w:rsidR="00BF1301">
          <w:rPr>
            <w:noProof/>
            <w:webHidden/>
          </w:rPr>
          <w:instrText xml:space="preserve"> PAGEREF _Toc235079816 \h </w:instrText>
        </w:r>
        <w:r w:rsidR="00BF1301">
          <w:rPr>
            <w:noProof/>
            <w:webHidden/>
          </w:rPr>
        </w:r>
        <w:r w:rsidR="00BF1301">
          <w:rPr>
            <w:noProof/>
            <w:webHidden/>
          </w:rPr>
          <w:fldChar w:fldCharType="separate"/>
        </w:r>
        <w:r w:rsidR="00D60E21">
          <w:rPr>
            <w:noProof/>
            <w:webHidden/>
          </w:rPr>
          <w:t>320</w:t>
        </w:r>
        <w:r w:rsidR="00BF1301">
          <w:rPr>
            <w:noProof/>
            <w:webHidden/>
          </w:rPr>
          <w:fldChar w:fldCharType="end"/>
        </w:r>
      </w:hyperlink>
    </w:p>
    <w:p w14:paraId="2733E7E2" w14:textId="33D8EAE5" w:rsidR="00BF1301" w:rsidRDefault="00B14886">
      <w:pPr>
        <w:pStyle w:val="Spistreci2"/>
        <w:tabs>
          <w:tab w:val="right" w:leader="dot" w:pos="9396"/>
        </w:tabs>
        <w:rPr>
          <w:rFonts w:eastAsiaTheme="minorEastAsia" w:cstheme="minorBidi"/>
          <w:noProof/>
          <w:sz w:val="22"/>
          <w:szCs w:val="22"/>
        </w:rPr>
      </w:pPr>
      <w:hyperlink w:anchor="_Toc235079817" w:history="1">
        <w:r w:rsidR="00BF1301" w:rsidRPr="004E5027">
          <w:rPr>
            <w:rStyle w:val="Hipercze"/>
            <w:rFonts w:ascii="Calibri" w:hAnsi="Calibri"/>
            <w:noProof/>
          </w:rPr>
          <w:t>Priorytet FESL.08 Fundusze Europejskie na infrastrukturę dla mieszkańca</w:t>
        </w:r>
        <w:r w:rsidR="00BF1301">
          <w:rPr>
            <w:noProof/>
            <w:webHidden/>
          </w:rPr>
          <w:tab/>
        </w:r>
        <w:r w:rsidR="00BF1301">
          <w:rPr>
            <w:noProof/>
            <w:webHidden/>
          </w:rPr>
          <w:fldChar w:fldCharType="begin"/>
        </w:r>
        <w:r w:rsidR="00BF1301">
          <w:rPr>
            <w:noProof/>
            <w:webHidden/>
          </w:rPr>
          <w:instrText xml:space="preserve"> PAGEREF _Toc235079817 \h </w:instrText>
        </w:r>
        <w:r w:rsidR="00BF1301">
          <w:rPr>
            <w:noProof/>
            <w:webHidden/>
          </w:rPr>
        </w:r>
        <w:r w:rsidR="00BF1301">
          <w:rPr>
            <w:noProof/>
            <w:webHidden/>
          </w:rPr>
          <w:fldChar w:fldCharType="separate"/>
        </w:r>
        <w:r w:rsidR="00D60E21">
          <w:rPr>
            <w:noProof/>
            <w:webHidden/>
          </w:rPr>
          <w:t>324</w:t>
        </w:r>
        <w:r w:rsidR="00BF1301">
          <w:rPr>
            <w:noProof/>
            <w:webHidden/>
          </w:rPr>
          <w:fldChar w:fldCharType="end"/>
        </w:r>
      </w:hyperlink>
    </w:p>
    <w:p w14:paraId="0D5394DC" w14:textId="685463BA" w:rsidR="00BF1301" w:rsidRDefault="00B14886">
      <w:pPr>
        <w:pStyle w:val="Spistreci3"/>
        <w:tabs>
          <w:tab w:val="right" w:leader="dot" w:pos="9396"/>
        </w:tabs>
        <w:rPr>
          <w:rFonts w:eastAsiaTheme="minorEastAsia" w:cstheme="minorBidi"/>
          <w:noProof/>
          <w:sz w:val="22"/>
          <w:szCs w:val="22"/>
        </w:rPr>
      </w:pPr>
      <w:hyperlink w:anchor="_Toc235079818" w:history="1">
        <w:r w:rsidR="00BF1301" w:rsidRPr="004E5027">
          <w:rPr>
            <w:rStyle w:val="Hipercze"/>
            <w:rFonts w:ascii="Calibri" w:hAnsi="Calibri"/>
            <w:noProof/>
          </w:rPr>
          <w:t>Działanie FESL.08.01 Infrastruktura szkolnictwa wyższego</w:t>
        </w:r>
        <w:r w:rsidR="00BF1301">
          <w:rPr>
            <w:noProof/>
            <w:webHidden/>
          </w:rPr>
          <w:tab/>
        </w:r>
        <w:r w:rsidR="00BF1301">
          <w:rPr>
            <w:noProof/>
            <w:webHidden/>
          </w:rPr>
          <w:fldChar w:fldCharType="begin"/>
        </w:r>
        <w:r w:rsidR="00BF1301">
          <w:rPr>
            <w:noProof/>
            <w:webHidden/>
          </w:rPr>
          <w:instrText xml:space="preserve"> PAGEREF _Toc235079818 \h </w:instrText>
        </w:r>
        <w:r w:rsidR="00BF1301">
          <w:rPr>
            <w:noProof/>
            <w:webHidden/>
          </w:rPr>
        </w:r>
        <w:r w:rsidR="00BF1301">
          <w:rPr>
            <w:noProof/>
            <w:webHidden/>
          </w:rPr>
          <w:fldChar w:fldCharType="separate"/>
        </w:r>
        <w:r w:rsidR="00D60E21">
          <w:rPr>
            <w:noProof/>
            <w:webHidden/>
          </w:rPr>
          <w:t>324</w:t>
        </w:r>
        <w:r w:rsidR="00BF1301">
          <w:rPr>
            <w:noProof/>
            <w:webHidden/>
          </w:rPr>
          <w:fldChar w:fldCharType="end"/>
        </w:r>
      </w:hyperlink>
    </w:p>
    <w:p w14:paraId="5A826189" w14:textId="1C9BF0F1" w:rsidR="00BF1301" w:rsidRDefault="00B14886">
      <w:pPr>
        <w:pStyle w:val="Spistreci3"/>
        <w:tabs>
          <w:tab w:val="right" w:leader="dot" w:pos="9396"/>
        </w:tabs>
        <w:rPr>
          <w:rFonts w:eastAsiaTheme="minorEastAsia" w:cstheme="minorBidi"/>
          <w:noProof/>
          <w:sz w:val="22"/>
          <w:szCs w:val="22"/>
        </w:rPr>
      </w:pPr>
      <w:hyperlink w:anchor="_Toc235079819" w:history="1">
        <w:r w:rsidR="00BF1301" w:rsidRPr="004E5027">
          <w:rPr>
            <w:rStyle w:val="Hipercze"/>
            <w:rFonts w:ascii="Calibri" w:hAnsi="Calibri"/>
            <w:noProof/>
          </w:rPr>
          <w:t>Działanie FESL.08.02 Edukacja włączająca</w:t>
        </w:r>
        <w:r w:rsidR="00BF1301">
          <w:rPr>
            <w:noProof/>
            <w:webHidden/>
          </w:rPr>
          <w:tab/>
        </w:r>
        <w:r w:rsidR="00BF1301">
          <w:rPr>
            <w:noProof/>
            <w:webHidden/>
          </w:rPr>
          <w:fldChar w:fldCharType="begin"/>
        </w:r>
        <w:r w:rsidR="00BF1301">
          <w:rPr>
            <w:noProof/>
            <w:webHidden/>
          </w:rPr>
          <w:instrText xml:space="preserve"> PAGEREF _Toc235079819 \h </w:instrText>
        </w:r>
        <w:r w:rsidR="00BF1301">
          <w:rPr>
            <w:noProof/>
            <w:webHidden/>
          </w:rPr>
        </w:r>
        <w:r w:rsidR="00BF1301">
          <w:rPr>
            <w:noProof/>
            <w:webHidden/>
          </w:rPr>
          <w:fldChar w:fldCharType="separate"/>
        </w:r>
        <w:r w:rsidR="00D60E21">
          <w:rPr>
            <w:noProof/>
            <w:webHidden/>
          </w:rPr>
          <w:t>328</w:t>
        </w:r>
        <w:r w:rsidR="00BF1301">
          <w:rPr>
            <w:noProof/>
            <w:webHidden/>
          </w:rPr>
          <w:fldChar w:fldCharType="end"/>
        </w:r>
      </w:hyperlink>
    </w:p>
    <w:p w14:paraId="56E4A5A7" w14:textId="65886C02" w:rsidR="00BF1301" w:rsidRDefault="00B14886">
      <w:pPr>
        <w:pStyle w:val="Spistreci3"/>
        <w:tabs>
          <w:tab w:val="right" w:leader="dot" w:pos="9396"/>
        </w:tabs>
        <w:rPr>
          <w:rFonts w:eastAsiaTheme="minorEastAsia" w:cstheme="minorBidi"/>
          <w:noProof/>
          <w:sz w:val="22"/>
          <w:szCs w:val="22"/>
        </w:rPr>
      </w:pPr>
      <w:hyperlink w:anchor="_Toc235079820" w:history="1">
        <w:r w:rsidR="00BF1301" w:rsidRPr="004E5027">
          <w:rPr>
            <w:rStyle w:val="Hipercze"/>
            <w:rFonts w:ascii="Calibri" w:hAnsi="Calibri"/>
            <w:noProof/>
          </w:rPr>
          <w:t>Działanie FESL.08.03 Infrastruktura szkolnictwa zawodowego - ZIT</w:t>
        </w:r>
        <w:r w:rsidR="00BF1301">
          <w:rPr>
            <w:noProof/>
            <w:webHidden/>
          </w:rPr>
          <w:tab/>
        </w:r>
        <w:r w:rsidR="00BF1301">
          <w:rPr>
            <w:noProof/>
            <w:webHidden/>
          </w:rPr>
          <w:fldChar w:fldCharType="begin"/>
        </w:r>
        <w:r w:rsidR="00BF1301">
          <w:rPr>
            <w:noProof/>
            <w:webHidden/>
          </w:rPr>
          <w:instrText xml:space="preserve"> PAGEREF _Toc235079820 \h </w:instrText>
        </w:r>
        <w:r w:rsidR="00BF1301">
          <w:rPr>
            <w:noProof/>
            <w:webHidden/>
          </w:rPr>
        </w:r>
        <w:r w:rsidR="00BF1301">
          <w:rPr>
            <w:noProof/>
            <w:webHidden/>
          </w:rPr>
          <w:fldChar w:fldCharType="separate"/>
        </w:r>
        <w:r w:rsidR="00D60E21">
          <w:rPr>
            <w:noProof/>
            <w:webHidden/>
          </w:rPr>
          <w:t>331</w:t>
        </w:r>
        <w:r w:rsidR="00BF1301">
          <w:rPr>
            <w:noProof/>
            <w:webHidden/>
          </w:rPr>
          <w:fldChar w:fldCharType="end"/>
        </w:r>
      </w:hyperlink>
    </w:p>
    <w:p w14:paraId="1CB3CC31" w14:textId="6AE112BF" w:rsidR="00BF1301" w:rsidRDefault="00B14886">
      <w:pPr>
        <w:pStyle w:val="Spistreci3"/>
        <w:tabs>
          <w:tab w:val="right" w:leader="dot" w:pos="9396"/>
        </w:tabs>
        <w:rPr>
          <w:rFonts w:eastAsiaTheme="minorEastAsia" w:cstheme="minorBidi"/>
          <w:noProof/>
          <w:sz w:val="22"/>
          <w:szCs w:val="22"/>
        </w:rPr>
      </w:pPr>
      <w:hyperlink w:anchor="_Toc235079821" w:history="1">
        <w:r w:rsidR="00BF1301" w:rsidRPr="004E5027">
          <w:rPr>
            <w:rStyle w:val="Hipercze"/>
            <w:rFonts w:ascii="Calibri" w:hAnsi="Calibri"/>
            <w:noProof/>
          </w:rPr>
          <w:t>Działanie FESL.08.04 Infrastruktura usług społecznych</w:t>
        </w:r>
        <w:r w:rsidR="00BF1301">
          <w:rPr>
            <w:noProof/>
            <w:webHidden/>
          </w:rPr>
          <w:tab/>
        </w:r>
        <w:r w:rsidR="00BF1301">
          <w:rPr>
            <w:noProof/>
            <w:webHidden/>
          </w:rPr>
          <w:fldChar w:fldCharType="begin"/>
        </w:r>
        <w:r w:rsidR="00BF1301">
          <w:rPr>
            <w:noProof/>
            <w:webHidden/>
          </w:rPr>
          <w:instrText xml:space="preserve"> PAGEREF _Toc235079821 \h </w:instrText>
        </w:r>
        <w:r w:rsidR="00BF1301">
          <w:rPr>
            <w:noProof/>
            <w:webHidden/>
          </w:rPr>
        </w:r>
        <w:r w:rsidR="00BF1301">
          <w:rPr>
            <w:noProof/>
            <w:webHidden/>
          </w:rPr>
          <w:fldChar w:fldCharType="separate"/>
        </w:r>
        <w:r w:rsidR="00D60E21">
          <w:rPr>
            <w:noProof/>
            <w:webHidden/>
          </w:rPr>
          <w:t>334</w:t>
        </w:r>
        <w:r w:rsidR="00BF1301">
          <w:rPr>
            <w:noProof/>
            <w:webHidden/>
          </w:rPr>
          <w:fldChar w:fldCharType="end"/>
        </w:r>
      </w:hyperlink>
    </w:p>
    <w:p w14:paraId="38AD2315" w14:textId="24D87157" w:rsidR="00BF1301" w:rsidRDefault="00B14886">
      <w:pPr>
        <w:pStyle w:val="Spistreci3"/>
        <w:tabs>
          <w:tab w:val="right" w:leader="dot" w:pos="9396"/>
        </w:tabs>
        <w:rPr>
          <w:rFonts w:eastAsiaTheme="minorEastAsia" w:cstheme="minorBidi"/>
          <w:noProof/>
          <w:sz w:val="22"/>
          <w:szCs w:val="22"/>
        </w:rPr>
      </w:pPr>
      <w:hyperlink w:anchor="_Toc235079822" w:history="1">
        <w:r w:rsidR="00BF1301" w:rsidRPr="004E5027">
          <w:rPr>
            <w:rStyle w:val="Hipercze"/>
            <w:rFonts w:ascii="Calibri" w:hAnsi="Calibri"/>
            <w:noProof/>
          </w:rPr>
          <w:t>Działanie FESL.08.05 E-zdrowie</w:t>
        </w:r>
        <w:r w:rsidR="00BF1301">
          <w:rPr>
            <w:noProof/>
            <w:webHidden/>
          </w:rPr>
          <w:tab/>
        </w:r>
        <w:r w:rsidR="00BF1301">
          <w:rPr>
            <w:noProof/>
            <w:webHidden/>
          </w:rPr>
          <w:fldChar w:fldCharType="begin"/>
        </w:r>
        <w:r w:rsidR="00BF1301">
          <w:rPr>
            <w:noProof/>
            <w:webHidden/>
          </w:rPr>
          <w:instrText xml:space="preserve"> PAGEREF _Toc235079822 \h </w:instrText>
        </w:r>
        <w:r w:rsidR="00BF1301">
          <w:rPr>
            <w:noProof/>
            <w:webHidden/>
          </w:rPr>
        </w:r>
        <w:r w:rsidR="00BF1301">
          <w:rPr>
            <w:noProof/>
            <w:webHidden/>
          </w:rPr>
          <w:fldChar w:fldCharType="separate"/>
        </w:r>
        <w:r w:rsidR="00D60E21">
          <w:rPr>
            <w:noProof/>
            <w:webHidden/>
          </w:rPr>
          <w:t>340</w:t>
        </w:r>
        <w:r w:rsidR="00BF1301">
          <w:rPr>
            <w:noProof/>
            <w:webHidden/>
          </w:rPr>
          <w:fldChar w:fldCharType="end"/>
        </w:r>
      </w:hyperlink>
    </w:p>
    <w:p w14:paraId="6527A7B5" w14:textId="4DDDF8EA" w:rsidR="00BF1301" w:rsidRDefault="00B14886">
      <w:pPr>
        <w:pStyle w:val="Spistreci3"/>
        <w:tabs>
          <w:tab w:val="right" w:leader="dot" w:pos="9396"/>
        </w:tabs>
        <w:rPr>
          <w:rFonts w:eastAsiaTheme="minorEastAsia" w:cstheme="minorBidi"/>
          <w:noProof/>
          <w:sz w:val="22"/>
          <w:szCs w:val="22"/>
        </w:rPr>
      </w:pPr>
      <w:hyperlink w:anchor="_Toc235079823" w:history="1">
        <w:r w:rsidR="00BF1301" w:rsidRPr="004E5027">
          <w:rPr>
            <w:rStyle w:val="Hipercze"/>
            <w:rFonts w:ascii="Calibri" w:hAnsi="Calibri"/>
            <w:noProof/>
          </w:rPr>
          <w:t>Działanie FESL.08.06 Infrastruktura ochrony zdrowia</w:t>
        </w:r>
        <w:r w:rsidR="00BF1301">
          <w:rPr>
            <w:noProof/>
            <w:webHidden/>
          </w:rPr>
          <w:tab/>
        </w:r>
        <w:r w:rsidR="00BF1301">
          <w:rPr>
            <w:noProof/>
            <w:webHidden/>
          </w:rPr>
          <w:fldChar w:fldCharType="begin"/>
        </w:r>
        <w:r w:rsidR="00BF1301">
          <w:rPr>
            <w:noProof/>
            <w:webHidden/>
          </w:rPr>
          <w:instrText xml:space="preserve"> PAGEREF _Toc235079823 \h </w:instrText>
        </w:r>
        <w:r w:rsidR="00BF1301">
          <w:rPr>
            <w:noProof/>
            <w:webHidden/>
          </w:rPr>
        </w:r>
        <w:r w:rsidR="00BF1301">
          <w:rPr>
            <w:noProof/>
            <w:webHidden/>
          </w:rPr>
          <w:fldChar w:fldCharType="separate"/>
        </w:r>
        <w:r w:rsidR="00D60E21">
          <w:rPr>
            <w:noProof/>
            <w:webHidden/>
          </w:rPr>
          <w:t>345</w:t>
        </w:r>
        <w:r w:rsidR="00BF1301">
          <w:rPr>
            <w:noProof/>
            <w:webHidden/>
          </w:rPr>
          <w:fldChar w:fldCharType="end"/>
        </w:r>
      </w:hyperlink>
    </w:p>
    <w:p w14:paraId="3D59A4BE" w14:textId="21C5869F" w:rsidR="00BF1301" w:rsidRDefault="00B14886">
      <w:pPr>
        <w:pStyle w:val="Spistreci3"/>
        <w:tabs>
          <w:tab w:val="right" w:leader="dot" w:pos="9396"/>
        </w:tabs>
        <w:rPr>
          <w:rFonts w:eastAsiaTheme="minorEastAsia" w:cstheme="minorBidi"/>
          <w:noProof/>
          <w:sz w:val="22"/>
          <w:szCs w:val="22"/>
        </w:rPr>
      </w:pPr>
      <w:hyperlink w:anchor="_Toc235079824" w:history="1">
        <w:r w:rsidR="00BF1301" w:rsidRPr="004E5027">
          <w:rPr>
            <w:rStyle w:val="Hipercze"/>
            <w:rFonts w:ascii="Calibri" w:hAnsi="Calibri"/>
            <w:noProof/>
          </w:rPr>
          <w:t>Działanie FESL.08.07 Kultura i turystyka szczebla regionalnego</w:t>
        </w:r>
        <w:r w:rsidR="00BF1301">
          <w:rPr>
            <w:noProof/>
            <w:webHidden/>
          </w:rPr>
          <w:tab/>
        </w:r>
        <w:r w:rsidR="00BF1301">
          <w:rPr>
            <w:noProof/>
            <w:webHidden/>
          </w:rPr>
          <w:fldChar w:fldCharType="begin"/>
        </w:r>
        <w:r w:rsidR="00BF1301">
          <w:rPr>
            <w:noProof/>
            <w:webHidden/>
          </w:rPr>
          <w:instrText xml:space="preserve"> PAGEREF _Toc235079824 \h </w:instrText>
        </w:r>
        <w:r w:rsidR="00BF1301">
          <w:rPr>
            <w:noProof/>
            <w:webHidden/>
          </w:rPr>
        </w:r>
        <w:r w:rsidR="00BF1301">
          <w:rPr>
            <w:noProof/>
            <w:webHidden/>
          </w:rPr>
          <w:fldChar w:fldCharType="separate"/>
        </w:r>
        <w:r w:rsidR="00D60E21">
          <w:rPr>
            <w:noProof/>
            <w:webHidden/>
          </w:rPr>
          <w:t>350</w:t>
        </w:r>
        <w:r w:rsidR="00BF1301">
          <w:rPr>
            <w:noProof/>
            <w:webHidden/>
          </w:rPr>
          <w:fldChar w:fldCharType="end"/>
        </w:r>
      </w:hyperlink>
    </w:p>
    <w:p w14:paraId="3311ECA2" w14:textId="37773F2B" w:rsidR="00BF1301" w:rsidRDefault="00B14886">
      <w:pPr>
        <w:pStyle w:val="Spistreci3"/>
        <w:tabs>
          <w:tab w:val="right" w:leader="dot" w:pos="9396"/>
        </w:tabs>
        <w:rPr>
          <w:rFonts w:eastAsiaTheme="minorEastAsia" w:cstheme="minorBidi"/>
          <w:noProof/>
          <w:sz w:val="22"/>
          <w:szCs w:val="22"/>
        </w:rPr>
      </w:pPr>
      <w:hyperlink w:anchor="_Toc235079825" w:history="1">
        <w:r w:rsidR="00BF1301" w:rsidRPr="004E5027">
          <w:rPr>
            <w:rStyle w:val="Hipercze"/>
            <w:rFonts w:ascii="Calibri" w:hAnsi="Calibri"/>
            <w:noProof/>
          </w:rPr>
          <w:t>Działanie FESL.08.08 Infrastruktura szkolnictwa zawodowego</w:t>
        </w:r>
        <w:r w:rsidR="00BF1301">
          <w:rPr>
            <w:noProof/>
            <w:webHidden/>
          </w:rPr>
          <w:tab/>
        </w:r>
        <w:r w:rsidR="00BF1301">
          <w:rPr>
            <w:noProof/>
            <w:webHidden/>
          </w:rPr>
          <w:fldChar w:fldCharType="begin"/>
        </w:r>
        <w:r w:rsidR="00BF1301">
          <w:rPr>
            <w:noProof/>
            <w:webHidden/>
          </w:rPr>
          <w:instrText xml:space="preserve"> PAGEREF _Toc235079825 \h </w:instrText>
        </w:r>
        <w:r w:rsidR="00BF1301">
          <w:rPr>
            <w:noProof/>
            <w:webHidden/>
          </w:rPr>
        </w:r>
        <w:r w:rsidR="00BF1301">
          <w:rPr>
            <w:noProof/>
            <w:webHidden/>
          </w:rPr>
          <w:fldChar w:fldCharType="separate"/>
        </w:r>
        <w:r w:rsidR="00D60E21">
          <w:rPr>
            <w:noProof/>
            <w:webHidden/>
          </w:rPr>
          <w:t>355</w:t>
        </w:r>
        <w:r w:rsidR="00BF1301">
          <w:rPr>
            <w:noProof/>
            <w:webHidden/>
          </w:rPr>
          <w:fldChar w:fldCharType="end"/>
        </w:r>
      </w:hyperlink>
    </w:p>
    <w:p w14:paraId="51AFD400" w14:textId="618C42E5" w:rsidR="00BF1301" w:rsidRDefault="00B14886">
      <w:pPr>
        <w:pStyle w:val="Spistreci2"/>
        <w:tabs>
          <w:tab w:val="right" w:leader="dot" w:pos="9396"/>
        </w:tabs>
        <w:rPr>
          <w:rFonts w:eastAsiaTheme="minorEastAsia" w:cstheme="minorBidi"/>
          <w:noProof/>
          <w:sz w:val="22"/>
          <w:szCs w:val="22"/>
        </w:rPr>
      </w:pPr>
      <w:hyperlink w:anchor="_Toc235079826" w:history="1">
        <w:r w:rsidR="00BF1301" w:rsidRPr="004E5027">
          <w:rPr>
            <w:rStyle w:val="Hipercze"/>
            <w:rFonts w:ascii="Calibri" w:hAnsi="Calibri"/>
            <w:noProof/>
          </w:rPr>
          <w:t>Priorytet FESL.09 Fundusze Europejskie na rozwój terytorialny</w:t>
        </w:r>
        <w:r w:rsidR="00BF1301">
          <w:rPr>
            <w:noProof/>
            <w:webHidden/>
          </w:rPr>
          <w:tab/>
        </w:r>
        <w:r w:rsidR="00BF1301">
          <w:rPr>
            <w:noProof/>
            <w:webHidden/>
          </w:rPr>
          <w:fldChar w:fldCharType="begin"/>
        </w:r>
        <w:r w:rsidR="00BF1301">
          <w:rPr>
            <w:noProof/>
            <w:webHidden/>
          </w:rPr>
          <w:instrText xml:space="preserve"> PAGEREF _Toc235079826 \h </w:instrText>
        </w:r>
        <w:r w:rsidR="00BF1301">
          <w:rPr>
            <w:noProof/>
            <w:webHidden/>
          </w:rPr>
        </w:r>
        <w:r w:rsidR="00BF1301">
          <w:rPr>
            <w:noProof/>
            <w:webHidden/>
          </w:rPr>
          <w:fldChar w:fldCharType="separate"/>
        </w:r>
        <w:r w:rsidR="00D60E21">
          <w:rPr>
            <w:noProof/>
            <w:webHidden/>
          </w:rPr>
          <w:t>358</w:t>
        </w:r>
        <w:r w:rsidR="00BF1301">
          <w:rPr>
            <w:noProof/>
            <w:webHidden/>
          </w:rPr>
          <w:fldChar w:fldCharType="end"/>
        </w:r>
      </w:hyperlink>
    </w:p>
    <w:p w14:paraId="6164D2F9" w14:textId="623ABE3A" w:rsidR="00BF1301" w:rsidRDefault="00B14886">
      <w:pPr>
        <w:pStyle w:val="Spistreci3"/>
        <w:tabs>
          <w:tab w:val="right" w:leader="dot" w:pos="9396"/>
        </w:tabs>
        <w:rPr>
          <w:rFonts w:eastAsiaTheme="minorEastAsia" w:cstheme="minorBidi"/>
          <w:noProof/>
          <w:sz w:val="22"/>
          <w:szCs w:val="22"/>
        </w:rPr>
      </w:pPr>
      <w:hyperlink w:anchor="_Toc235079827" w:history="1">
        <w:r w:rsidR="00BF1301" w:rsidRPr="004E5027">
          <w:rPr>
            <w:rStyle w:val="Hipercze"/>
            <w:rFonts w:ascii="Calibri" w:hAnsi="Calibri"/>
            <w:noProof/>
          </w:rPr>
          <w:t>Działanie FESL.09.01 Zwiększenie roli kultury i turystyki w rozwoju subregionalnym - ZIT</w:t>
        </w:r>
        <w:r w:rsidR="00BF1301">
          <w:rPr>
            <w:noProof/>
            <w:webHidden/>
          </w:rPr>
          <w:tab/>
        </w:r>
        <w:r w:rsidR="00BF1301">
          <w:rPr>
            <w:noProof/>
            <w:webHidden/>
          </w:rPr>
          <w:fldChar w:fldCharType="begin"/>
        </w:r>
        <w:r w:rsidR="00BF1301">
          <w:rPr>
            <w:noProof/>
            <w:webHidden/>
          </w:rPr>
          <w:instrText xml:space="preserve"> PAGEREF _Toc235079827 \h </w:instrText>
        </w:r>
        <w:r w:rsidR="00BF1301">
          <w:rPr>
            <w:noProof/>
            <w:webHidden/>
          </w:rPr>
        </w:r>
        <w:r w:rsidR="00BF1301">
          <w:rPr>
            <w:noProof/>
            <w:webHidden/>
          </w:rPr>
          <w:fldChar w:fldCharType="separate"/>
        </w:r>
        <w:r w:rsidR="00D60E21">
          <w:rPr>
            <w:noProof/>
            <w:webHidden/>
          </w:rPr>
          <w:t>359</w:t>
        </w:r>
        <w:r w:rsidR="00BF1301">
          <w:rPr>
            <w:noProof/>
            <w:webHidden/>
          </w:rPr>
          <w:fldChar w:fldCharType="end"/>
        </w:r>
      </w:hyperlink>
    </w:p>
    <w:p w14:paraId="73FE8587" w14:textId="64F54B8A" w:rsidR="00BF1301" w:rsidRDefault="00B14886">
      <w:pPr>
        <w:pStyle w:val="Spistreci3"/>
        <w:tabs>
          <w:tab w:val="right" w:leader="dot" w:pos="9396"/>
        </w:tabs>
        <w:rPr>
          <w:rFonts w:eastAsiaTheme="minorEastAsia" w:cstheme="minorBidi"/>
          <w:noProof/>
          <w:sz w:val="22"/>
          <w:szCs w:val="22"/>
        </w:rPr>
      </w:pPr>
      <w:hyperlink w:anchor="_Toc235079828" w:history="1">
        <w:r w:rsidR="00BF1301" w:rsidRPr="004E5027">
          <w:rPr>
            <w:rStyle w:val="Hipercze"/>
            <w:rFonts w:ascii="Calibri" w:hAnsi="Calibri"/>
            <w:noProof/>
          </w:rPr>
          <w:t>Działanie FESL.09.02 Rozwój ZIT</w:t>
        </w:r>
        <w:r w:rsidR="00BF1301">
          <w:rPr>
            <w:noProof/>
            <w:webHidden/>
          </w:rPr>
          <w:tab/>
        </w:r>
        <w:r w:rsidR="00BF1301">
          <w:rPr>
            <w:noProof/>
            <w:webHidden/>
          </w:rPr>
          <w:fldChar w:fldCharType="begin"/>
        </w:r>
        <w:r w:rsidR="00BF1301">
          <w:rPr>
            <w:noProof/>
            <w:webHidden/>
          </w:rPr>
          <w:instrText xml:space="preserve"> PAGEREF _Toc235079828 \h </w:instrText>
        </w:r>
        <w:r w:rsidR="00BF1301">
          <w:rPr>
            <w:noProof/>
            <w:webHidden/>
          </w:rPr>
        </w:r>
        <w:r w:rsidR="00BF1301">
          <w:rPr>
            <w:noProof/>
            <w:webHidden/>
          </w:rPr>
          <w:fldChar w:fldCharType="separate"/>
        </w:r>
        <w:r w:rsidR="00D60E21">
          <w:rPr>
            <w:noProof/>
            <w:webHidden/>
          </w:rPr>
          <w:t>365</w:t>
        </w:r>
        <w:r w:rsidR="00BF1301">
          <w:rPr>
            <w:noProof/>
            <w:webHidden/>
          </w:rPr>
          <w:fldChar w:fldCharType="end"/>
        </w:r>
      </w:hyperlink>
    </w:p>
    <w:p w14:paraId="06557B8A" w14:textId="445B105F" w:rsidR="00BF1301" w:rsidRDefault="00B14886">
      <w:pPr>
        <w:pStyle w:val="Spistreci3"/>
        <w:tabs>
          <w:tab w:val="right" w:leader="dot" w:pos="9396"/>
        </w:tabs>
        <w:rPr>
          <w:rFonts w:eastAsiaTheme="minorEastAsia" w:cstheme="minorBidi"/>
          <w:noProof/>
          <w:sz w:val="22"/>
          <w:szCs w:val="22"/>
        </w:rPr>
      </w:pPr>
      <w:hyperlink w:anchor="_Toc235079829" w:history="1">
        <w:r w:rsidR="00BF1301" w:rsidRPr="004E5027">
          <w:rPr>
            <w:rStyle w:val="Hipercze"/>
            <w:rFonts w:ascii="Calibri" w:hAnsi="Calibri"/>
            <w:noProof/>
          </w:rPr>
          <w:t>Działanie FESL.09.03 Rewitalizacja obszarów miejskich</w:t>
        </w:r>
        <w:r w:rsidR="00BF1301">
          <w:rPr>
            <w:noProof/>
            <w:webHidden/>
          </w:rPr>
          <w:tab/>
        </w:r>
        <w:r w:rsidR="00BF1301">
          <w:rPr>
            <w:noProof/>
            <w:webHidden/>
          </w:rPr>
          <w:fldChar w:fldCharType="begin"/>
        </w:r>
        <w:r w:rsidR="00BF1301">
          <w:rPr>
            <w:noProof/>
            <w:webHidden/>
          </w:rPr>
          <w:instrText xml:space="preserve"> PAGEREF _Toc235079829 \h </w:instrText>
        </w:r>
        <w:r w:rsidR="00BF1301">
          <w:rPr>
            <w:noProof/>
            <w:webHidden/>
          </w:rPr>
        </w:r>
        <w:r w:rsidR="00BF1301">
          <w:rPr>
            <w:noProof/>
            <w:webHidden/>
          </w:rPr>
          <w:fldChar w:fldCharType="separate"/>
        </w:r>
        <w:r w:rsidR="00D60E21">
          <w:rPr>
            <w:noProof/>
            <w:webHidden/>
          </w:rPr>
          <w:t>368</w:t>
        </w:r>
        <w:r w:rsidR="00BF1301">
          <w:rPr>
            <w:noProof/>
            <w:webHidden/>
          </w:rPr>
          <w:fldChar w:fldCharType="end"/>
        </w:r>
      </w:hyperlink>
    </w:p>
    <w:p w14:paraId="18711B67" w14:textId="4EA1C695" w:rsidR="00BF1301" w:rsidRDefault="00B14886">
      <w:pPr>
        <w:pStyle w:val="Spistreci3"/>
        <w:tabs>
          <w:tab w:val="right" w:leader="dot" w:pos="9396"/>
        </w:tabs>
        <w:rPr>
          <w:rFonts w:eastAsiaTheme="minorEastAsia" w:cstheme="minorBidi"/>
          <w:noProof/>
          <w:sz w:val="22"/>
          <w:szCs w:val="22"/>
        </w:rPr>
      </w:pPr>
      <w:hyperlink w:anchor="_Toc235079830" w:history="1">
        <w:r w:rsidR="00BF1301" w:rsidRPr="004E5027">
          <w:rPr>
            <w:rStyle w:val="Hipercze"/>
            <w:rFonts w:ascii="Calibri" w:hAnsi="Calibri"/>
            <w:noProof/>
          </w:rPr>
          <w:t>Działanie FESL.09.04 Rewitalizacja obszarów miejskich (IF)</w:t>
        </w:r>
        <w:r w:rsidR="00BF1301">
          <w:rPr>
            <w:noProof/>
            <w:webHidden/>
          </w:rPr>
          <w:tab/>
        </w:r>
        <w:r w:rsidR="00BF1301">
          <w:rPr>
            <w:noProof/>
            <w:webHidden/>
          </w:rPr>
          <w:fldChar w:fldCharType="begin"/>
        </w:r>
        <w:r w:rsidR="00BF1301">
          <w:rPr>
            <w:noProof/>
            <w:webHidden/>
          </w:rPr>
          <w:instrText xml:space="preserve"> PAGEREF _Toc235079830 \h </w:instrText>
        </w:r>
        <w:r w:rsidR="00BF1301">
          <w:rPr>
            <w:noProof/>
            <w:webHidden/>
          </w:rPr>
        </w:r>
        <w:r w:rsidR="00BF1301">
          <w:rPr>
            <w:noProof/>
            <w:webHidden/>
          </w:rPr>
          <w:fldChar w:fldCharType="separate"/>
        </w:r>
        <w:r w:rsidR="00D60E21">
          <w:rPr>
            <w:noProof/>
            <w:webHidden/>
          </w:rPr>
          <w:t>373</w:t>
        </w:r>
        <w:r w:rsidR="00BF1301">
          <w:rPr>
            <w:noProof/>
            <w:webHidden/>
          </w:rPr>
          <w:fldChar w:fldCharType="end"/>
        </w:r>
      </w:hyperlink>
    </w:p>
    <w:p w14:paraId="4634EFB9" w14:textId="18972B36" w:rsidR="00BF1301" w:rsidRDefault="00B14886">
      <w:pPr>
        <w:pStyle w:val="Spistreci3"/>
        <w:tabs>
          <w:tab w:val="right" w:leader="dot" w:pos="9396"/>
        </w:tabs>
        <w:rPr>
          <w:rFonts w:eastAsiaTheme="minorEastAsia" w:cstheme="minorBidi"/>
          <w:noProof/>
          <w:sz w:val="22"/>
          <w:szCs w:val="22"/>
        </w:rPr>
      </w:pPr>
      <w:hyperlink w:anchor="_Toc235079831" w:history="1">
        <w:r w:rsidR="00BF1301" w:rsidRPr="004E5027">
          <w:rPr>
            <w:rStyle w:val="Hipercze"/>
            <w:rFonts w:ascii="Calibri" w:hAnsi="Calibri"/>
            <w:noProof/>
          </w:rPr>
          <w:t>Działanie FESL.09.05 Rewitalizacja obszarów wiejskich</w:t>
        </w:r>
        <w:r w:rsidR="00BF1301">
          <w:rPr>
            <w:noProof/>
            <w:webHidden/>
          </w:rPr>
          <w:tab/>
        </w:r>
        <w:r w:rsidR="00BF1301">
          <w:rPr>
            <w:noProof/>
            <w:webHidden/>
          </w:rPr>
          <w:fldChar w:fldCharType="begin"/>
        </w:r>
        <w:r w:rsidR="00BF1301">
          <w:rPr>
            <w:noProof/>
            <w:webHidden/>
          </w:rPr>
          <w:instrText xml:space="preserve"> PAGEREF _Toc235079831 \h </w:instrText>
        </w:r>
        <w:r w:rsidR="00BF1301">
          <w:rPr>
            <w:noProof/>
            <w:webHidden/>
          </w:rPr>
        </w:r>
        <w:r w:rsidR="00BF1301">
          <w:rPr>
            <w:noProof/>
            <w:webHidden/>
          </w:rPr>
          <w:fldChar w:fldCharType="separate"/>
        </w:r>
        <w:r w:rsidR="00D60E21">
          <w:rPr>
            <w:noProof/>
            <w:webHidden/>
          </w:rPr>
          <w:t>377</w:t>
        </w:r>
        <w:r w:rsidR="00BF1301">
          <w:rPr>
            <w:noProof/>
            <w:webHidden/>
          </w:rPr>
          <w:fldChar w:fldCharType="end"/>
        </w:r>
      </w:hyperlink>
    </w:p>
    <w:p w14:paraId="77DD539C" w14:textId="0AA7F8EC" w:rsidR="00BF1301" w:rsidRDefault="00B14886">
      <w:pPr>
        <w:pStyle w:val="Spistreci2"/>
        <w:tabs>
          <w:tab w:val="right" w:leader="dot" w:pos="9396"/>
        </w:tabs>
        <w:rPr>
          <w:rFonts w:eastAsiaTheme="minorEastAsia" w:cstheme="minorBidi"/>
          <w:noProof/>
          <w:sz w:val="22"/>
          <w:szCs w:val="22"/>
        </w:rPr>
      </w:pPr>
      <w:hyperlink w:anchor="_Toc235079832" w:history="1">
        <w:r w:rsidR="00BF1301" w:rsidRPr="004E5027">
          <w:rPr>
            <w:rStyle w:val="Hipercze"/>
            <w:rFonts w:ascii="Calibri" w:hAnsi="Calibri"/>
            <w:noProof/>
          </w:rPr>
          <w:t>Priorytet FESL.10 Fundusze Europejskie na transformację</w:t>
        </w:r>
        <w:r w:rsidR="00BF1301">
          <w:rPr>
            <w:noProof/>
            <w:webHidden/>
          </w:rPr>
          <w:tab/>
        </w:r>
        <w:r w:rsidR="00BF1301">
          <w:rPr>
            <w:noProof/>
            <w:webHidden/>
          </w:rPr>
          <w:fldChar w:fldCharType="begin"/>
        </w:r>
        <w:r w:rsidR="00BF1301">
          <w:rPr>
            <w:noProof/>
            <w:webHidden/>
          </w:rPr>
          <w:instrText xml:space="preserve"> PAGEREF _Toc235079832 \h </w:instrText>
        </w:r>
        <w:r w:rsidR="00BF1301">
          <w:rPr>
            <w:noProof/>
            <w:webHidden/>
          </w:rPr>
        </w:r>
        <w:r w:rsidR="00BF1301">
          <w:rPr>
            <w:noProof/>
            <w:webHidden/>
          </w:rPr>
          <w:fldChar w:fldCharType="separate"/>
        </w:r>
        <w:r w:rsidR="00D60E21">
          <w:rPr>
            <w:noProof/>
            <w:webHidden/>
          </w:rPr>
          <w:t>382</w:t>
        </w:r>
        <w:r w:rsidR="00BF1301">
          <w:rPr>
            <w:noProof/>
            <w:webHidden/>
          </w:rPr>
          <w:fldChar w:fldCharType="end"/>
        </w:r>
      </w:hyperlink>
    </w:p>
    <w:p w14:paraId="00DD8BD9" w14:textId="0763BEC6" w:rsidR="00BF1301" w:rsidRDefault="00B14886">
      <w:pPr>
        <w:pStyle w:val="Spistreci3"/>
        <w:tabs>
          <w:tab w:val="right" w:leader="dot" w:pos="9396"/>
        </w:tabs>
        <w:rPr>
          <w:rFonts w:eastAsiaTheme="minorEastAsia" w:cstheme="minorBidi"/>
          <w:noProof/>
          <w:sz w:val="22"/>
          <w:szCs w:val="22"/>
        </w:rPr>
      </w:pPr>
      <w:hyperlink w:anchor="_Toc235079833" w:history="1">
        <w:r w:rsidR="00BF1301" w:rsidRPr="004E5027">
          <w:rPr>
            <w:rStyle w:val="Hipercze"/>
            <w:rFonts w:ascii="Calibri" w:hAnsi="Calibri"/>
            <w:noProof/>
          </w:rPr>
          <w:t>Działanie FESL.10.01 Wykorzystanie terenów zdegradowanych</w:t>
        </w:r>
        <w:r w:rsidR="002D509E">
          <w:rPr>
            <w:rStyle w:val="Hipercze"/>
            <w:rFonts w:ascii="Calibri" w:hAnsi="Calibri"/>
            <w:noProof/>
          </w:rPr>
          <w:t xml:space="preserve"> </w:t>
        </w:r>
        <w:r w:rsidR="00BF1301" w:rsidRPr="004E5027">
          <w:rPr>
            <w:rStyle w:val="Hipercze"/>
            <w:rFonts w:ascii="Calibri" w:hAnsi="Calibri"/>
            <w:noProof/>
          </w:rPr>
          <w:t>w celu rozwoju regionu poprzez inwestycje przedsiębiorstw</w:t>
        </w:r>
        <w:r w:rsidR="00BF1301">
          <w:rPr>
            <w:noProof/>
            <w:webHidden/>
          </w:rPr>
          <w:tab/>
        </w:r>
        <w:r w:rsidR="00BF1301">
          <w:rPr>
            <w:noProof/>
            <w:webHidden/>
          </w:rPr>
          <w:fldChar w:fldCharType="begin"/>
        </w:r>
        <w:r w:rsidR="00BF1301">
          <w:rPr>
            <w:noProof/>
            <w:webHidden/>
          </w:rPr>
          <w:instrText xml:space="preserve"> PAGEREF _Toc235079833 \h </w:instrText>
        </w:r>
        <w:r w:rsidR="00BF1301">
          <w:rPr>
            <w:noProof/>
            <w:webHidden/>
          </w:rPr>
        </w:r>
        <w:r w:rsidR="00BF1301">
          <w:rPr>
            <w:noProof/>
            <w:webHidden/>
          </w:rPr>
          <w:fldChar w:fldCharType="separate"/>
        </w:r>
        <w:r w:rsidR="00D60E21">
          <w:rPr>
            <w:noProof/>
            <w:webHidden/>
          </w:rPr>
          <w:t>383</w:t>
        </w:r>
        <w:r w:rsidR="00BF1301">
          <w:rPr>
            <w:noProof/>
            <w:webHidden/>
          </w:rPr>
          <w:fldChar w:fldCharType="end"/>
        </w:r>
      </w:hyperlink>
    </w:p>
    <w:p w14:paraId="4E4AC731" w14:textId="76C0D1FC" w:rsidR="00BF1301" w:rsidRDefault="00B14886">
      <w:pPr>
        <w:pStyle w:val="Spistreci3"/>
        <w:tabs>
          <w:tab w:val="right" w:leader="dot" w:pos="9396"/>
        </w:tabs>
        <w:rPr>
          <w:rFonts w:eastAsiaTheme="minorEastAsia" w:cstheme="minorBidi"/>
          <w:noProof/>
          <w:sz w:val="22"/>
          <w:szCs w:val="22"/>
        </w:rPr>
      </w:pPr>
      <w:hyperlink w:anchor="_Toc235079834" w:history="1">
        <w:r w:rsidR="00BF1301" w:rsidRPr="004E5027">
          <w:rPr>
            <w:rStyle w:val="Hipercze"/>
            <w:rFonts w:ascii="Calibri" w:hAnsi="Calibri"/>
            <w:noProof/>
          </w:rPr>
          <w:t>Działanie FESL.10.02 Badania, rozwój i innowacje w przedsiębiorstwach na rzecz transformacji</w:t>
        </w:r>
        <w:r w:rsidR="00BF1301">
          <w:rPr>
            <w:noProof/>
            <w:webHidden/>
          </w:rPr>
          <w:tab/>
        </w:r>
        <w:r w:rsidR="00BF1301">
          <w:rPr>
            <w:noProof/>
            <w:webHidden/>
          </w:rPr>
          <w:fldChar w:fldCharType="begin"/>
        </w:r>
        <w:r w:rsidR="00BF1301">
          <w:rPr>
            <w:noProof/>
            <w:webHidden/>
          </w:rPr>
          <w:instrText xml:space="preserve"> PAGEREF _Toc235079834 \h </w:instrText>
        </w:r>
        <w:r w:rsidR="00BF1301">
          <w:rPr>
            <w:noProof/>
            <w:webHidden/>
          </w:rPr>
        </w:r>
        <w:r w:rsidR="00BF1301">
          <w:rPr>
            <w:noProof/>
            <w:webHidden/>
          </w:rPr>
          <w:fldChar w:fldCharType="separate"/>
        </w:r>
        <w:r w:rsidR="00D60E21">
          <w:rPr>
            <w:noProof/>
            <w:webHidden/>
          </w:rPr>
          <w:t>387</w:t>
        </w:r>
        <w:r w:rsidR="00BF1301">
          <w:rPr>
            <w:noProof/>
            <w:webHidden/>
          </w:rPr>
          <w:fldChar w:fldCharType="end"/>
        </w:r>
      </w:hyperlink>
    </w:p>
    <w:p w14:paraId="25C887F5" w14:textId="0A0A20D9" w:rsidR="00BF1301" w:rsidRDefault="00B14886">
      <w:pPr>
        <w:pStyle w:val="Spistreci3"/>
        <w:tabs>
          <w:tab w:val="right" w:leader="dot" w:pos="9396"/>
        </w:tabs>
        <w:rPr>
          <w:rFonts w:eastAsiaTheme="minorEastAsia" w:cstheme="minorBidi"/>
          <w:noProof/>
          <w:sz w:val="22"/>
          <w:szCs w:val="22"/>
        </w:rPr>
      </w:pPr>
      <w:hyperlink w:anchor="_Toc235079835" w:history="1">
        <w:r w:rsidR="00BF1301" w:rsidRPr="004E5027">
          <w:rPr>
            <w:rStyle w:val="Hipercze"/>
            <w:rFonts w:ascii="Calibri" w:hAnsi="Calibri"/>
            <w:noProof/>
          </w:rPr>
          <w:t>Działanie FESL.10.03 Wsparcie MŚP na rzecz transformacji</w:t>
        </w:r>
        <w:r w:rsidR="00BF1301">
          <w:rPr>
            <w:noProof/>
            <w:webHidden/>
          </w:rPr>
          <w:tab/>
        </w:r>
        <w:r w:rsidR="00BF1301">
          <w:rPr>
            <w:noProof/>
            <w:webHidden/>
          </w:rPr>
          <w:fldChar w:fldCharType="begin"/>
        </w:r>
        <w:r w:rsidR="00BF1301">
          <w:rPr>
            <w:noProof/>
            <w:webHidden/>
          </w:rPr>
          <w:instrText xml:space="preserve"> PAGEREF _Toc235079835 \h </w:instrText>
        </w:r>
        <w:r w:rsidR="00BF1301">
          <w:rPr>
            <w:noProof/>
            <w:webHidden/>
          </w:rPr>
        </w:r>
        <w:r w:rsidR="00BF1301">
          <w:rPr>
            <w:noProof/>
            <w:webHidden/>
          </w:rPr>
          <w:fldChar w:fldCharType="separate"/>
        </w:r>
        <w:r w:rsidR="00D60E21">
          <w:rPr>
            <w:noProof/>
            <w:webHidden/>
          </w:rPr>
          <w:t>393</w:t>
        </w:r>
        <w:r w:rsidR="00BF1301">
          <w:rPr>
            <w:noProof/>
            <w:webHidden/>
          </w:rPr>
          <w:fldChar w:fldCharType="end"/>
        </w:r>
      </w:hyperlink>
    </w:p>
    <w:p w14:paraId="19148930" w14:textId="6DB3B17F" w:rsidR="00BF1301" w:rsidRDefault="00B14886">
      <w:pPr>
        <w:pStyle w:val="Spistreci3"/>
        <w:tabs>
          <w:tab w:val="right" w:leader="dot" w:pos="9396"/>
        </w:tabs>
        <w:rPr>
          <w:rFonts w:eastAsiaTheme="minorEastAsia" w:cstheme="minorBidi"/>
          <w:noProof/>
          <w:sz w:val="22"/>
          <w:szCs w:val="22"/>
        </w:rPr>
      </w:pPr>
      <w:hyperlink w:anchor="_Toc235079836" w:history="1">
        <w:r w:rsidR="00BF1301" w:rsidRPr="004E5027">
          <w:rPr>
            <w:rStyle w:val="Hipercze"/>
            <w:rFonts w:ascii="Calibri" w:hAnsi="Calibri"/>
            <w:noProof/>
          </w:rPr>
          <w:t>Działanie FESL.10.04 Wsparcie dużych przedsiębiorstw na rzecz transformacji</w:t>
        </w:r>
        <w:r w:rsidR="00BF1301">
          <w:rPr>
            <w:noProof/>
            <w:webHidden/>
          </w:rPr>
          <w:tab/>
        </w:r>
        <w:r w:rsidR="00BF1301">
          <w:rPr>
            <w:noProof/>
            <w:webHidden/>
          </w:rPr>
          <w:fldChar w:fldCharType="begin"/>
        </w:r>
        <w:r w:rsidR="00BF1301">
          <w:rPr>
            <w:noProof/>
            <w:webHidden/>
          </w:rPr>
          <w:instrText xml:space="preserve"> PAGEREF _Toc235079836 \h </w:instrText>
        </w:r>
        <w:r w:rsidR="00BF1301">
          <w:rPr>
            <w:noProof/>
            <w:webHidden/>
          </w:rPr>
        </w:r>
        <w:r w:rsidR="00BF1301">
          <w:rPr>
            <w:noProof/>
            <w:webHidden/>
          </w:rPr>
          <w:fldChar w:fldCharType="separate"/>
        </w:r>
        <w:r w:rsidR="00D60E21">
          <w:rPr>
            <w:noProof/>
            <w:webHidden/>
          </w:rPr>
          <w:t>399</w:t>
        </w:r>
        <w:r w:rsidR="00BF1301">
          <w:rPr>
            <w:noProof/>
            <w:webHidden/>
          </w:rPr>
          <w:fldChar w:fldCharType="end"/>
        </w:r>
      </w:hyperlink>
    </w:p>
    <w:p w14:paraId="43DFBF58" w14:textId="0F963477" w:rsidR="00BF1301" w:rsidRDefault="00B14886">
      <w:pPr>
        <w:pStyle w:val="Spistreci3"/>
        <w:tabs>
          <w:tab w:val="right" w:leader="dot" w:pos="9396"/>
        </w:tabs>
        <w:rPr>
          <w:rFonts w:eastAsiaTheme="minorEastAsia" w:cstheme="minorBidi"/>
          <w:noProof/>
          <w:sz w:val="22"/>
          <w:szCs w:val="22"/>
        </w:rPr>
      </w:pPr>
      <w:hyperlink w:anchor="_Toc235079837" w:history="1">
        <w:r w:rsidR="00BF1301" w:rsidRPr="004E5027">
          <w:rPr>
            <w:rStyle w:val="Hipercze"/>
            <w:rFonts w:ascii="Calibri" w:hAnsi="Calibri"/>
            <w:noProof/>
          </w:rPr>
          <w:t>Działanie FESL.10.05 Innowacyjna infrastruktura wspierająca gospodarkę</w:t>
        </w:r>
        <w:r w:rsidR="00BF1301">
          <w:rPr>
            <w:noProof/>
            <w:webHidden/>
          </w:rPr>
          <w:tab/>
        </w:r>
        <w:r w:rsidR="00BF1301">
          <w:rPr>
            <w:noProof/>
            <w:webHidden/>
          </w:rPr>
          <w:fldChar w:fldCharType="begin"/>
        </w:r>
        <w:r w:rsidR="00BF1301">
          <w:rPr>
            <w:noProof/>
            <w:webHidden/>
          </w:rPr>
          <w:instrText xml:space="preserve"> PAGEREF _Toc235079837 \h </w:instrText>
        </w:r>
        <w:r w:rsidR="00BF1301">
          <w:rPr>
            <w:noProof/>
            <w:webHidden/>
          </w:rPr>
        </w:r>
        <w:r w:rsidR="00BF1301">
          <w:rPr>
            <w:noProof/>
            <w:webHidden/>
          </w:rPr>
          <w:fldChar w:fldCharType="separate"/>
        </w:r>
        <w:r w:rsidR="00D60E21">
          <w:rPr>
            <w:noProof/>
            <w:webHidden/>
          </w:rPr>
          <w:t>404</w:t>
        </w:r>
        <w:r w:rsidR="00BF1301">
          <w:rPr>
            <w:noProof/>
            <w:webHidden/>
          </w:rPr>
          <w:fldChar w:fldCharType="end"/>
        </w:r>
      </w:hyperlink>
    </w:p>
    <w:p w14:paraId="79BC62B0" w14:textId="6B324861" w:rsidR="00BF1301" w:rsidRDefault="00B14886">
      <w:pPr>
        <w:pStyle w:val="Spistreci3"/>
        <w:tabs>
          <w:tab w:val="right" w:leader="dot" w:pos="9396"/>
        </w:tabs>
        <w:rPr>
          <w:rFonts w:eastAsiaTheme="minorEastAsia" w:cstheme="minorBidi"/>
          <w:noProof/>
          <w:sz w:val="22"/>
          <w:szCs w:val="22"/>
        </w:rPr>
      </w:pPr>
      <w:hyperlink w:anchor="_Toc235079838" w:history="1">
        <w:r w:rsidR="00BF1301" w:rsidRPr="004E5027">
          <w:rPr>
            <w:rStyle w:val="Hipercze"/>
            <w:rFonts w:ascii="Calibri" w:hAnsi="Calibri"/>
            <w:noProof/>
          </w:rPr>
          <w:t>Działanie FESL.10.06 Rozwój energetyki rozproszonej opartej o odnawialne źródła energii</w:t>
        </w:r>
        <w:r w:rsidR="00BF1301">
          <w:rPr>
            <w:noProof/>
            <w:webHidden/>
          </w:rPr>
          <w:tab/>
        </w:r>
        <w:r w:rsidR="00BF1301">
          <w:rPr>
            <w:noProof/>
            <w:webHidden/>
          </w:rPr>
          <w:fldChar w:fldCharType="begin"/>
        </w:r>
        <w:r w:rsidR="00BF1301">
          <w:rPr>
            <w:noProof/>
            <w:webHidden/>
          </w:rPr>
          <w:instrText xml:space="preserve"> PAGEREF _Toc235079838 \h </w:instrText>
        </w:r>
        <w:r w:rsidR="00BF1301">
          <w:rPr>
            <w:noProof/>
            <w:webHidden/>
          </w:rPr>
        </w:r>
        <w:r w:rsidR="00BF1301">
          <w:rPr>
            <w:noProof/>
            <w:webHidden/>
          </w:rPr>
          <w:fldChar w:fldCharType="separate"/>
        </w:r>
        <w:r w:rsidR="00D60E21">
          <w:rPr>
            <w:noProof/>
            <w:webHidden/>
          </w:rPr>
          <w:t>409</w:t>
        </w:r>
        <w:r w:rsidR="00BF1301">
          <w:rPr>
            <w:noProof/>
            <w:webHidden/>
          </w:rPr>
          <w:fldChar w:fldCharType="end"/>
        </w:r>
      </w:hyperlink>
    </w:p>
    <w:p w14:paraId="4B230454" w14:textId="0AEEFB0C" w:rsidR="00BF1301" w:rsidRDefault="00B14886">
      <w:pPr>
        <w:pStyle w:val="Spistreci3"/>
        <w:tabs>
          <w:tab w:val="right" w:leader="dot" w:pos="9396"/>
        </w:tabs>
        <w:rPr>
          <w:rFonts w:eastAsiaTheme="minorEastAsia" w:cstheme="minorBidi"/>
          <w:noProof/>
          <w:sz w:val="22"/>
          <w:szCs w:val="22"/>
        </w:rPr>
      </w:pPr>
      <w:hyperlink w:anchor="_Toc235079839" w:history="1">
        <w:r w:rsidR="00BF1301" w:rsidRPr="004E5027">
          <w:rPr>
            <w:rStyle w:val="Hipercze"/>
            <w:rFonts w:ascii="Calibri" w:hAnsi="Calibri"/>
            <w:noProof/>
          </w:rPr>
          <w:t>Działanie FESL.10.07 Rekultywacja terenów poprzemysłowych, zdewastowanych, zdegradowanych na cele środowiskowe</w:t>
        </w:r>
        <w:r w:rsidR="00BF1301">
          <w:rPr>
            <w:noProof/>
            <w:webHidden/>
          </w:rPr>
          <w:tab/>
        </w:r>
        <w:r w:rsidR="00BF1301">
          <w:rPr>
            <w:noProof/>
            <w:webHidden/>
          </w:rPr>
          <w:fldChar w:fldCharType="begin"/>
        </w:r>
        <w:r w:rsidR="00BF1301">
          <w:rPr>
            <w:noProof/>
            <w:webHidden/>
          </w:rPr>
          <w:instrText xml:space="preserve"> PAGEREF _Toc235079839 \h </w:instrText>
        </w:r>
        <w:r w:rsidR="00BF1301">
          <w:rPr>
            <w:noProof/>
            <w:webHidden/>
          </w:rPr>
        </w:r>
        <w:r w:rsidR="00BF1301">
          <w:rPr>
            <w:noProof/>
            <w:webHidden/>
          </w:rPr>
          <w:fldChar w:fldCharType="separate"/>
        </w:r>
        <w:r w:rsidR="00D60E21">
          <w:rPr>
            <w:noProof/>
            <w:webHidden/>
          </w:rPr>
          <w:t>416</w:t>
        </w:r>
        <w:r w:rsidR="00BF1301">
          <w:rPr>
            <w:noProof/>
            <w:webHidden/>
          </w:rPr>
          <w:fldChar w:fldCharType="end"/>
        </w:r>
      </w:hyperlink>
    </w:p>
    <w:p w14:paraId="1969F73D" w14:textId="608ACCEA" w:rsidR="00BF1301" w:rsidRDefault="00B14886">
      <w:pPr>
        <w:pStyle w:val="Spistreci3"/>
        <w:tabs>
          <w:tab w:val="right" w:leader="dot" w:pos="9396"/>
        </w:tabs>
        <w:rPr>
          <w:rFonts w:eastAsiaTheme="minorEastAsia" w:cstheme="minorBidi"/>
          <w:noProof/>
          <w:sz w:val="22"/>
          <w:szCs w:val="22"/>
        </w:rPr>
      </w:pPr>
      <w:hyperlink w:anchor="_Toc235079840" w:history="1">
        <w:r w:rsidR="00BF1301" w:rsidRPr="004E5027">
          <w:rPr>
            <w:rStyle w:val="Hipercze"/>
            <w:rFonts w:ascii="Calibri" w:hAnsi="Calibri"/>
            <w:noProof/>
          </w:rPr>
          <w:t>Działanie FESL.10.08 Poprawa stosunków wodnych na obszarze oddziaływania kopalń</w:t>
        </w:r>
        <w:r w:rsidR="00BF1301">
          <w:rPr>
            <w:noProof/>
            <w:webHidden/>
          </w:rPr>
          <w:tab/>
        </w:r>
        <w:r w:rsidR="00BF1301">
          <w:rPr>
            <w:noProof/>
            <w:webHidden/>
          </w:rPr>
          <w:fldChar w:fldCharType="begin"/>
        </w:r>
        <w:r w:rsidR="00BF1301">
          <w:rPr>
            <w:noProof/>
            <w:webHidden/>
          </w:rPr>
          <w:instrText xml:space="preserve"> PAGEREF _Toc235079840 \h </w:instrText>
        </w:r>
        <w:r w:rsidR="00BF1301">
          <w:rPr>
            <w:noProof/>
            <w:webHidden/>
          </w:rPr>
        </w:r>
        <w:r w:rsidR="00BF1301">
          <w:rPr>
            <w:noProof/>
            <w:webHidden/>
          </w:rPr>
          <w:fldChar w:fldCharType="separate"/>
        </w:r>
        <w:r w:rsidR="00D60E21">
          <w:rPr>
            <w:noProof/>
            <w:webHidden/>
          </w:rPr>
          <w:t>422</w:t>
        </w:r>
        <w:r w:rsidR="00BF1301">
          <w:rPr>
            <w:noProof/>
            <w:webHidden/>
          </w:rPr>
          <w:fldChar w:fldCharType="end"/>
        </w:r>
      </w:hyperlink>
    </w:p>
    <w:p w14:paraId="113EA825" w14:textId="14837A77" w:rsidR="00BF1301" w:rsidRDefault="00B14886">
      <w:pPr>
        <w:pStyle w:val="Spistreci3"/>
        <w:tabs>
          <w:tab w:val="right" w:leader="dot" w:pos="9396"/>
        </w:tabs>
        <w:rPr>
          <w:rFonts w:eastAsiaTheme="minorEastAsia" w:cstheme="minorBidi"/>
          <w:noProof/>
          <w:sz w:val="22"/>
          <w:szCs w:val="22"/>
        </w:rPr>
      </w:pPr>
      <w:hyperlink w:anchor="_Toc235079841" w:history="1">
        <w:r w:rsidR="00BF1301" w:rsidRPr="004E5027">
          <w:rPr>
            <w:rStyle w:val="Hipercze"/>
            <w:rFonts w:ascii="Calibri" w:hAnsi="Calibri"/>
            <w:noProof/>
          </w:rPr>
          <w:t>Działanie FESL.10.09 Ponowne wykorzystanie terenów poprzemysłowych, zdewastowanych, zdegradowanych na cele rozwojowe regionu</w:t>
        </w:r>
        <w:r w:rsidR="00BF1301">
          <w:rPr>
            <w:noProof/>
            <w:webHidden/>
          </w:rPr>
          <w:tab/>
        </w:r>
        <w:r w:rsidR="00BF1301">
          <w:rPr>
            <w:noProof/>
            <w:webHidden/>
          </w:rPr>
          <w:fldChar w:fldCharType="begin"/>
        </w:r>
        <w:r w:rsidR="00BF1301">
          <w:rPr>
            <w:noProof/>
            <w:webHidden/>
          </w:rPr>
          <w:instrText xml:space="preserve"> PAGEREF _Toc235079841 \h </w:instrText>
        </w:r>
        <w:r w:rsidR="00BF1301">
          <w:rPr>
            <w:noProof/>
            <w:webHidden/>
          </w:rPr>
        </w:r>
        <w:r w:rsidR="00BF1301">
          <w:rPr>
            <w:noProof/>
            <w:webHidden/>
          </w:rPr>
          <w:fldChar w:fldCharType="separate"/>
        </w:r>
        <w:r w:rsidR="00D60E21">
          <w:rPr>
            <w:noProof/>
            <w:webHidden/>
          </w:rPr>
          <w:t>426</w:t>
        </w:r>
        <w:r w:rsidR="00BF1301">
          <w:rPr>
            <w:noProof/>
            <w:webHidden/>
          </w:rPr>
          <w:fldChar w:fldCharType="end"/>
        </w:r>
      </w:hyperlink>
    </w:p>
    <w:p w14:paraId="2BC543C6" w14:textId="30040032" w:rsidR="00BF1301" w:rsidRDefault="00B14886">
      <w:pPr>
        <w:pStyle w:val="Spistreci3"/>
        <w:tabs>
          <w:tab w:val="right" w:leader="dot" w:pos="9396"/>
        </w:tabs>
        <w:rPr>
          <w:rFonts w:eastAsiaTheme="minorEastAsia" w:cstheme="minorBidi"/>
          <w:noProof/>
          <w:sz w:val="22"/>
          <w:szCs w:val="22"/>
        </w:rPr>
      </w:pPr>
      <w:hyperlink w:anchor="_Toc235079842" w:history="1">
        <w:r w:rsidR="00BF1301" w:rsidRPr="004E5027">
          <w:rPr>
            <w:rStyle w:val="Hipercze"/>
            <w:rFonts w:ascii="Calibri" w:hAnsi="Calibri"/>
            <w:noProof/>
          </w:rPr>
          <w:t>Działanie FESL.10.10 Wsparcie planowania transformacji</w:t>
        </w:r>
        <w:r w:rsidR="00BF1301">
          <w:rPr>
            <w:noProof/>
            <w:webHidden/>
          </w:rPr>
          <w:tab/>
        </w:r>
        <w:r w:rsidR="00BF1301">
          <w:rPr>
            <w:noProof/>
            <w:webHidden/>
          </w:rPr>
          <w:fldChar w:fldCharType="begin"/>
        </w:r>
        <w:r w:rsidR="00BF1301">
          <w:rPr>
            <w:noProof/>
            <w:webHidden/>
          </w:rPr>
          <w:instrText xml:space="preserve"> PAGEREF _Toc235079842 \h </w:instrText>
        </w:r>
        <w:r w:rsidR="00BF1301">
          <w:rPr>
            <w:noProof/>
            <w:webHidden/>
          </w:rPr>
        </w:r>
        <w:r w:rsidR="00BF1301">
          <w:rPr>
            <w:noProof/>
            <w:webHidden/>
          </w:rPr>
          <w:fldChar w:fldCharType="separate"/>
        </w:r>
        <w:r w:rsidR="00D60E21">
          <w:rPr>
            <w:noProof/>
            <w:webHidden/>
          </w:rPr>
          <w:t>433</w:t>
        </w:r>
        <w:r w:rsidR="00BF1301">
          <w:rPr>
            <w:noProof/>
            <w:webHidden/>
          </w:rPr>
          <w:fldChar w:fldCharType="end"/>
        </w:r>
      </w:hyperlink>
    </w:p>
    <w:p w14:paraId="49C5BC79" w14:textId="19A2BE35" w:rsidR="00BF1301" w:rsidRDefault="00B14886">
      <w:pPr>
        <w:pStyle w:val="Spistreci3"/>
        <w:tabs>
          <w:tab w:val="right" w:leader="dot" w:pos="9396"/>
        </w:tabs>
        <w:rPr>
          <w:rFonts w:eastAsiaTheme="minorEastAsia" w:cstheme="minorBidi"/>
          <w:noProof/>
          <w:sz w:val="22"/>
          <w:szCs w:val="22"/>
        </w:rPr>
      </w:pPr>
      <w:hyperlink w:anchor="_Toc235079843" w:history="1">
        <w:r w:rsidR="00BF1301" w:rsidRPr="004E5027">
          <w:rPr>
            <w:rStyle w:val="Hipercze"/>
            <w:rFonts w:ascii="Calibri" w:hAnsi="Calibri"/>
            <w:noProof/>
          </w:rPr>
          <w:t>Działanie FESL.10.11 Systemowe zarządzanie terenami poprzemysłowymi</w:t>
        </w:r>
        <w:r w:rsidR="00BF1301">
          <w:rPr>
            <w:noProof/>
            <w:webHidden/>
          </w:rPr>
          <w:tab/>
        </w:r>
        <w:r w:rsidR="00BF1301">
          <w:rPr>
            <w:noProof/>
            <w:webHidden/>
          </w:rPr>
          <w:fldChar w:fldCharType="begin"/>
        </w:r>
        <w:r w:rsidR="00BF1301">
          <w:rPr>
            <w:noProof/>
            <w:webHidden/>
          </w:rPr>
          <w:instrText xml:space="preserve"> PAGEREF _Toc235079843 \h </w:instrText>
        </w:r>
        <w:r w:rsidR="00BF1301">
          <w:rPr>
            <w:noProof/>
            <w:webHidden/>
          </w:rPr>
        </w:r>
        <w:r w:rsidR="00BF1301">
          <w:rPr>
            <w:noProof/>
            <w:webHidden/>
          </w:rPr>
          <w:fldChar w:fldCharType="separate"/>
        </w:r>
        <w:r w:rsidR="00D60E21">
          <w:rPr>
            <w:noProof/>
            <w:webHidden/>
          </w:rPr>
          <w:t>436</w:t>
        </w:r>
        <w:r w:rsidR="00BF1301">
          <w:rPr>
            <w:noProof/>
            <w:webHidden/>
          </w:rPr>
          <w:fldChar w:fldCharType="end"/>
        </w:r>
      </w:hyperlink>
    </w:p>
    <w:p w14:paraId="41DC5AFA" w14:textId="0CFEE33C" w:rsidR="00BF1301" w:rsidRDefault="00B14886">
      <w:pPr>
        <w:pStyle w:val="Spistreci3"/>
        <w:tabs>
          <w:tab w:val="right" w:leader="dot" w:pos="9396"/>
        </w:tabs>
        <w:rPr>
          <w:rFonts w:eastAsiaTheme="minorEastAsia" w:cstheme="minorBidi"/>
          <w:noProof/>
          <w:sz w:val="22"/>
          <w:szCs w:val="22"/>
        </w:rPr>
      </w:pPr>
      <w:hyperlink w:anchor="_Toc235079844" w:history="1">
        <w:r w:rsidR="00BF1301" w:rsidRPr="004E5027">
          <w:rPr>
            <w:rStyle w:val="Hipercze"/>
            <w:rFonts w:ascii="Calibri" w:hAnsi="Calibri"/>
            <w:noProof/>
          </w:rPr>
          <w:t>Działanie FESL.10.12 Poprawa mobilności mieszkańców regionu i spójności transportowej podregionów górniczych</w:t>
        </w:r>
        <w:r w:rsidR="00BF1301">
          <w:rPr>
            <w:noProof/>
            <w:webHidden/>
          </w:rPr>
          <w:tab/>
        </w:r>
        <w:r w:rsidR="00BF1301">
          <w:rPr>
            <w:noProof/>
            <w:webHidden/>
          </w:rPr>
          <w:fldChar w:fldCharType="begin"/>
        </w:r>
        <w:r w:rsidR="00BF1301">
          <w:rPr>
            <w:noProof/>
            <w:webHidden/>
          </w:rPr>
          <w:instrText xml:space="preserve"> PAGEREF _Toc235079844 \h </w:instrText>
        </w:r>
        <w:r w:rsidR="00BF1301">
          <w:rPr>
            <w:noProof/>
            <w:webHidden/>
          </w:rPr>
        </w:r>
        <w:r w:rsidR="00BF1301">
          <w:rPr>
            <w:noProof/>
            <w:webHidden/>
          </w:rPr>
          <w:fldChar w:fldCharType="separate"/>
        </w:r>
        <w:r w:rsidR="00D60E21">
          <w:rPr>
            <w:noProof/>
            <w:webHidden/>
          </w:rPr>
          <w:t>439</w:t>
        </w:r>
        <w:r w:rsidR="00BF1301">
          <w:rPr>
            <w:noProof/>
            <w:webHidden/>
          </w:rPr>
          <w:fldChar w:fldCharType="end"/>
        </w:r>
      </w:hyperlink>
    </w:p>
    <w:p w14:paraId="3D9B0DAD" w14:textId="6B48DC54" w:rsidR="00BF1301" w:rsidRDefault="00B14886">
      <w:pPr>
        <w:pStyle w:val="Spistreci3"/>
        <w:tabs>
          <w:tab w:val="right" w:leader="dot" w:pos="9396"/>
        </w:tabs>
        <w:rPr>
          <w:rFonts w:eastAsiaTheme="minorEastAsia" w:cstheme="minorBidi"/>
          <w:noProof/>
          <w:sz w:val="22"/>
          <w:szCs w:val="22"/>
        </w:rPr>
      </w:pPr>
      <w:hyperlink w:anchor="_Toc235079845" w:history="1">
        <w:r w:rsidR="00BF1301" w:rsidRPr="004E5027">
          <w:rPr>
            <w:rStyle w:val="Hipercze"/>
            <w:rFonts w:ascii="Calibri" w:hAnsi="Calibri"/>
            <w:noProof/>
          </w:rPr>
          <w:t>Działanie FESL.10.13 Infrastruktura szkolnictwa wyższego na potrzeby transformacji</w:t>
        </w:r>
        <w:r w:rsidR="00BF1301">
          <w:rPr>
            <w:noProof/>
            <w:webHidden/>
          </w:rPr>
          <w:tab/>
        </w:r>
        <w:r w:rsidR="00BF1301">
          <w:rPr>
            <w:noProof/>
            <w:webHidden/>
          </w:rPr>
          <w:fldChar w:fldCharType="begin"/>
        </w:r>
        <w:r w:rsidR="00BF1301">
          <w:rPr>
            <w:noProof/>
            <w:webHidden/>
          </w:rPr>
          <w:instrText xml:space="preserve"> PAGEREF _Toc235079845 \h </w:instrText>
        </w:r>
        <w:r w:rsidR="00BF1301">
          <w:rPr>
            <w:noProof/>
            <w:webHidden/>
          </w:rPr>
        </w:r>
        <w:r w:rsidR="00BF1301">
          <w:rPr>
            <w:noProof/>
            <w:webHidden/>
          </w:rPr>
          <w:fldChar w:fldCharType="separate"/>
        </w:r>
        <w:r w:rsidR="00D60E21">
          <w:rPr>
            <w:noProof/>
            <w:webHidden/>
          </w:rPr>
          <w:t>445</w:t>
        </w:r>
        <w:r w:rsidR="00BF1301">
          <w:rPr>
            <w:noProof/>
            <w:webHidden/>
          </w:rPr>
          <w:fldChar w:fldCharType="end"/>
        </w:r>
      </w:hyperlink>
    </w:p>
    <w:p w14:paraId="00686C0F" w14:textId="68EB8EF0" w:rsidR="00BF1301" w:rsidRDefault="00B14886">
      <w:pPr>
        <w:pStyle w:val="Spistreci3"/>
        <w:tabs>
          <w:tab w:val="right" w:leader="dot" w:pos="9396"/>
        </w:tabs>
        <w:rPr>
          <w:rFonts w:eastAsiaTheme="minorEastAsia" w:cstheme="minorBidi"/>
          <w:noProof/>
          <w:sz w:val="22"/>
          <w:szCs w:val="22"/>
        </w:rPr>
      </w:pPr>
      <w:hyperlink w:anchor="_Toc235079846" w:history="1">
        <w:r w:rsidR="00BF1301" w:rsidRPr="004E5027">
          <w:rPr>
            <w:rStyle w:val="Hipercze"/>
            <w:rFonts w:ascii="Calibri" w:hAnsi="Calibri"/>
            <w:noProof/>
          </w:rPr>
          <w:t>Działanie FESL.10.14 Infrastruktura kształcenia zawodowego</w:t>
        </w:r>
        <w:r w:rsidR="00BF1301">
          <w:rPr>
            <w:noProof/>
            <w:webHidden/>
          </w:rPr>
          <w:tab/>
        </w:r>
        <w:r w:rsidR="00BF1301">
          <w:rPr>
            <w:noProof/>
            <w:webHidden/>
          </w:rPr>
          <w:fldChar w:fldCharType="begin"/>
        </w:r>
        <w:r w:rsidR="00BF1301">
          <w:rPr>
            <w:noProof/>
            <w:webHidden/>
          </w:rPr>
          <w:instrText xml:space="preserve"> PAGEREF _Toc235079846 \h </w:instrText>
        </w:r>
        <w:r w:rsidR="00BF1301">
          <w:rPr>
            <w:noProof/>
            <w:webHidden/>
          </w:rPr>
        </w:r>
        <w:r w:rsidR="00BF1301">
          <w:rPr>
            <w:noProof/>
            <w:webHidden/>
          </w:rPr>
          <w:fldChar w:fldCharType="separate"/>
        </w:r>
        <w:r w:rsidR="00D60E21">
          <w:rPr>
            <w:noProof/>
            <w:webHidden/>
          </w:rPr>
          <w:t>448</w:t>
        </w:r>
        <w:r w:rsidR="00BF1301">
          <w:rPr>
            <w:noProof/>
            <w:webHidden/>
          </w:rPr>
          <w:fldChar w:fldCharType="end"/>
        </w:r>
      </w:hyperlink>
    </w:p>
    <w:p w14:paraId="4106367E" w14:textId="7938BF70" w:rsidR="00BF1301" w:rsidRDefault="00B14886">
      <w:pPr>
        <w:pStyle w:val="Spistreci3"/>
        <w:tabs>
          <w:tab w:val="right" w:leader="dot" w:pos="9396"/>
        </w:tabs>
        <w:rPr>
          <w:rFonts w:eastAsiaTheme="minorEastAsia" w:cstheme="minorBidi"/>
          <w:noProof/>
          <w:sz w:val="22"/>
          <w:szCs w:val="22"/>
        </w:rPr>
      </w:pPr>
      <w:hyperlink w:anchor="_Toc235079847" w:history="1">
        <w:r w:rsidR="00BF1301" w:rsidRPr="004E5027">
          <w:rPr>
            <w:rStyle w:val="Hipercze"/>
            <w:rFonts w:ascii="Calibri" w:hAnsi="Calibri"/>
            <w:noProof/>
          </w:rPr>
          <w:t>Działanie FESL.10.15 Wykorzystanie endogenicznego potencjału podregionów górniczych</w:t>
        </w:r>
        <w:r w:rsidR="00BF1301">
          <w:rPr>
            <w:noProof/>
            <w:webHidden/>
          </w:rPr>
          <w:tab/>
        </w:r>
        <w:r w:rsidR="00BF1301">
          <w:rPr>
            <w:noProof/>
            <w:webHidden/>
          </w:rPr>
          <w:fldChar w:fldCharType="begin"/>
        </w:r>
        <w:r w:rsidR="00BF1301">
          <w:rPr>
            <w:noProof/>
            <w:webHidden/>
          </w:rPr>
          <w:instrText xml:space="preserve"> PAGEREF _Toc235079847 \h </w:instrText>
        </w:r>
        <w:r w:rsidR="00BF1301">
          <w:rPr>
            <w:noProof/>
            <w:webHidden/>
          </w:rPr>
        </w:r>
        <w:r w:rsidR="00BF1301">
          <w:rPr>
            <w:noProof/>
            <w:webHidden/>
          </w:rPr>
          <w:fldChar w:fldCharType="separate"/>
        </w:r>
        <w:r w:rsidR="00D60E21">
          <w:rPr>
            <w:noProof/>
            <w:webHidden/>
          </w:rPr>
          <w:t>452</w:t>
        </w:r>
        <w:r w:rsidR="00BF1301">
          <w:rPr>
            <w:noProof/>
            <w:webHidden/>
          </w:rPr>
          <w:fldChar w:fldCharType="end"/>
        </w:r>
      </w:hyperlink>
    </w:p>
    <w:p w14:paraId="26655EB6" w14:textId="75EDE83A" w:rsidR="00BF1301" w:rsidRDefault="00B14886">
      <w:pPr>
        <w:pStyle w:val="Spistreci3"/>
        <w:tabs>
          <w:tab w:val="right" w:leader="dot" w:pos="9396"/>
        </w:tabs>
        <w:rPr>
          <w:rFonts w:eastAsiaTheme="minorEastAsia" w:cstheme="minorBidi"/>
          <w:noProof/>
          <w:sz w:val="22"/>
          <w:szCs w:val="22"/>
        </w:rPr>
      </w:pPr>
      <w:hyperlink w:anchor="_Toc235079848" w:history="1">
        <w:r w:rsidR="00BF1301" w:rsidRPr="004E5027">
          <w:rPr>
            <w:rStyle w:val="Hipercze"/>
            <w:rFonts w:ascii="Calibri" w:hAnsi="Calibri"/>
            <w:noProof/>
          </w:rPr>
          <w:t>Działanie FESL.10.16 Rozwój przedsiębiorczości FST</w:t>
        </w:r>
        <w:r w:rsidR="00BF1301">
          <w:rPr>
            <w:noProof/>
            <w:webHidden/>
          </w:rPr>
          <w:tab/>
        </w:r>
        <w:r w:rsidR="00BF1301">
          <w:rPr>
            <w:noProof/>
            <w:webHidden/>
          </w:rPr>
          <w:fldChar w:fldCharType="begin"/>
        </w:r>
        <w:r w:rsidR="00BF1301">
          <w:rPr>
            <w:noProof/>
            <w:webHidden/>
          </w:rPr>
          <w:instrText xml:space="preserve"> PAGEREF _Toc235079848 \h </w:instrText>
        </w:r>
        <w:r w:rsidR="00BF1301">
          <w:rPr>
            <w:noProof/>
            <w:webHidden/>
          </w:rPr>
        </w:r>
        <w:r w:rsidR="00BF1301">
          <w:rPr>
            <w:noProof/>
            <w:webHidden/>
          </w:rPr>
          <w:fldChar w:fldCharType="separate"/>
        </w:r>
        <w:r w:rsidR="00D60E21">
          <w:rPr>
            <w:noProof/>
            <w:webHidden/>
          </w:rPr>
          <w:t>457</w:t>
        </w:r>
        <w:r w:rsidR="00BF1301">
          <w:rPr>
            <w:noProof/>
            <w:webHidden/>
          </w:rPr>
          <w:fldChar w:fldCharType="end"/>
        </w:r>
      </w:hyperlink>
    </w:p>
    <w:p w14:paraId="19EF334D" w14:textId="7E37E569" w:rsidR="00BF1301" w:rsidRDefault="00B14886">
      <w:pPr>
        <w:pStyle w:val="Spistreci3"/>
        <w:tabs>
          <w:tab w:val="right" w:leader="dot" w:pos="9396"/>
        </w:tabs>
        <w:rPr>
          <w:rFonts w:eastAsiaTheme="minorEastAsia" w:cstheme="minorBidi"/>
          <w:noProof/>
          <w:sz w:val="22"/>
          <w:szCs w:val="22"/>
        </w:rPr>
      </w:pPr>
      <w:hyperlink w:anchor="_Toc235079849" w:history="1">
        <w:r w:rsidR="00BF1301" w:rsidRPr="004E5027">
          <w:rPr>
            <w:rStyle w:val="Hipercze"/>
            <w:rFonts w:ascii="Calibri" w:hAnsi="Calibri"/>
            <w:noProof/>
          </w:rPr>
          <w:t>Działanie FESL.10.17 Kształcenie osób dorosłych FST</w:t>
        </w:r>
        <w:r w:rsidR="00BF1301">
          <w:rPr>
            <w:noProof/>
            <w:webHidden/>
          </w:rPr>
          <w:tab/>
        </w:r>
        <w:r w:rsidR="00BF1301">
          <w:rPr>
            <w:noProof/>
            <w:webHidden/>
          </w:rPr>
          <w:fldChar w:fldCharType="begin"/>
        </w:r>
        <w:r w:rsidR="00BF1301">
          <w:rPr>
            <w:noProof/>
            <w:webHidden/>
          </w:rPr>
          <w:instrText xml:space="preserve"> PAGEREF _Toc235079849 \h </w:instrText>
        </w:r>
        <w:r w:rsidR="00BF1301">
          <w:rPr>
            <w:noProof/>
            <w:webHidden/>
          </w:rPr>
        </w:r>
        <w:r w:rsidR="00BF1301">
          <w:rPr>
            <w:noProof/>
            <w:webHidden/>
          </w:rPr>
          <w:fldChar w:fldCharType="separate"/>
        </w:r>
        <w:r w:rsidR="00D60E21">
          <w:rPr>
            <w:noProof/>
            <w:webHidden/>
          </w:rPr>
          <w:t>460</w:t>
        </w:r>
        <w:r w:rsidR="00BF1301">
          <w:rPr>
            <w:noProof/>
            <w:webHidden/>
          </w:rPr>
          <w:fldChar w:fldCharType="end"/>
        </w:r>
      </w:hyperlink>
    </w:p>
    <w:p w14:paraId="088FD9E2" w14:textId="733ACC12" w:rsidR="00BF1301" w:rsidRDefault="00B14886">
      <w:pPr>
        <w:pStyle w:val="Spistreci3"/>
        <w:tabs>
          <w:tab w:val="right" w:leader="dot" w:pos="9396"/>
        </w:tabs>
        <w:rPr>
          <w:rFonts w:eastAsiaTheme="minorEastAsia" w:cstheme="minorBidi"/>
          <w:noProof/>
          <w:sz w:val="22"/>
          <w:szCs w:val="22"/>
        </w:rPr>
      </w:pPr>
      <w:hyperlink w:anchor="_Toc235079850" w:history="1">
        <w:r w:rsidR="00BF1301" w:rsidRPr="004E5027">
          <w:rPr>
            <w:rStyle w:val="Hipercze"/>
            <w:rFonts w:ascii="Calibri" w:hAnsi="Calibri"/>
            <w:noProof/>
          </w:rPr>
          <w:t>Działanie FESL.10.18 Redeployment</w:t>
        </w:r>
        <w:r w:rsidR="00BF1301">
          <w:rPr>
            <w:noProof/>
            <w:webHidden/>
          </w:rPr>
          <w:tab/>
        </w:r>
        <w:r w:rsidR="00BF1301">
          <w:rPr>
            <w:noProof/>
            <w:webHidden/>
          </w:rPr>
          <w:fldChar w:fldCharType="begin"/>
        </w:r>
        <w:r w:rsidR="00BF1301">
          <w:rPr>
            <w:noProof/>
            <w:webHidden/>
          </w:rPr>
          <w:instrText xml:space="preserve"> PAGEREF _Toc235079850 \h </w:instrText>
        </w:r>
        <w:r w:rsidR="00BF1301">
          <w:rPr>
            <w:noProof/>
            <w:webHidden/>
          </w:rPr>
        </w:r>
        <w:r w:rsidR="00BF1301">
          <w:rPr>
            <w:noProof/>
            <w:webHidden/>
          </w:rPr>
          <w:fldChar w:fldCharType="separate"/>
        </w:r>
        <w:r w:rsidR="00D60E21">
          <w:rPr>
            <w:noProof/>
            <w:webHidden/>
          </w:rPr>
          <w:t>464</w:t>
        </w:r>
        <w:r w:rsidR="00BF1301">
          <w:rPr>
            <w:noProof/>
            <w:webHidden/>
          </w:rPr>
          <w:fldChar w:fldCharType="end"/>
        </w:r>
      </w:hyperlink>
    </w:p>
    <w:p w14:paraId="11A65C77" w14:textId="59264B52" w:rsidR="00BF1301" w:rsidRDefault="00B14886">
      <w:pPr>
        <w:pStyle w:val="Spistreci3"/>
        <w:tabs>
          <w:tab w:val="right" w:leader="dot" w:pos="9396"/>
        </w:tabs>
        <w:rPr>
          <w:rFonts w:eastAsiaTheme="minorEastAsia" w:cstheme="minorBidi"/>
          <w:noProof/>
          <w:sz w:val="22"/>
          <w:szCs w:val="22"/>
        </w:rPr>
      </w:pPr>
      <w:hyperlink w:anchor="_Toc235079851" w:history="1">
        <w:r w:rsidR="00BF1301" w:rsidRPr="004E5027">
          <w:rPr>
            <w:rStyle w:val="Hipercze"/>
            <w:rFonts w:ascii="Calibri" w:hAnsi="Calibri"/>
            <w:noProof/>
          </w:rPr>
          <w:t>Działanie FESL.10.19 Outplacement FST</w:t>
        </w:r>
        <w:r w:rsidR="00BF1301">
          <w:rPr>
            <w:noProof/>
            <w:webHidden/>
          </w:rPr>
          <w:tab/>
        </w:r>
        <w:r w:rsidR="00BF1301">
          <w:rPr>
            <w:noProof/>
            <w:webHidden/>
          </w:rPr>
          <w:fldChar w:fldCharType="begin"/>
        </w:r>
        <w:r w:rsidR="00BF1301">
          <w:rPr>
            <w:noProof/>
            <w:webHidden/>
          </w:rPr>
          <w:instrText xml:space="preserve"> PAGEREF _Toc235079851 \h </w:instrText>
        </w:r>
        <w:r w:rsidR="00BF1301">
          <w:rPr>
            <w:noProof/>
            <w:webHidden/>
          </w:rPr>
        </w:r>
        <w:r w:rsidR="00BF1301">
          <w:rPr>
            <w:noProof/>
            <w:webHidden/>
          </w:rPr>
          <w:fldChar w:fldCharType="separate"/>
        </w:r>
        <w:r w:rsidR="00D60E21">
          <w:rPr>
            <w:noProof/>
            <w:webHidden/>
          </w:rPr>
          <w:t>468</w:t>
        </w:r>
        <w:r w:rsidR="00BF1301">
          <w:rPr>
            <w:noProof/>
            <w:webHidden/>
          </w:rPr>
          <w:fldChar w:fldCharType="end"/>
        </w:r>
      </w:hyperlink>
    </w:p>
    <w:p w14:paraId="3635FEE6" w14:textId="683628AB" w:rsidR="00BF1301" w:rsidRDefault="00B14886">
      <w:pPr>
        <w:pStyle w:val="Spistreci3"/>
        <w:tabs>
          <w:tab w:val="right" w:leader="dot" w:pos="9396"/>
        </w:tabs>
        <w:rPr>
          <w:rFonts w:eastAsiaTheme="minorEastAsia" w:cstheme="minorBidi"/>
          <w:noProof/>
          <w:sz w:val="22"/>
          <w:szCs w:val="22"/>
        </w:rPr>
      </w:pPr>
      <w:hyperlink w:anchor="_Toc235079852" w:history="1">
        <w:r w:rsidR="00BF1301" w:rsidRPr="004E5027">
          <w:rPr>
            <w:rStyle w:val="Hipercze"/>
            <w:rFonts w:ascii="Calibri" w:hAnsi="Calibri"/>
            <w:noProof/>
          </w:rPr>
          <w:t>Działanie FESL.10.20 Wsparcie na założenie działalności gospodarczej</w:t>
        </w:r>
        <w:r w:rsidR="00BF1301">
          <w:rPr>
            <w:noProof/>
            <w:webHidden/>
          </w:rPr>
          <w:tab/>
        </w:r>
        <w:r w:rsidR="00BF1301">
          <w:rPr>
            <w:noProof/>
            <w:webHidden/>
          </w:rPr>
          <w:fldChar w:fldCharType="begin"/>
        </w:r>
        <w:r w:rsidR="00BF1301">
          <w:rPr>
            <w:noProof/>
            <w:webHidden/>
          </w:rPr>
          <w:instrText xml:space="preserve"> PAGEREF _Toc235079852 \h </w:instrText>
        </w:r>
        <w:r w:rsidR="00BF1301">
          <w:rPr>
            <w:noProof/>
            <w:webHidden/>
          </w:rPr>
        </w:r>
        <w:r w:rsidR="00BF1301">
          <w:rPr>
            <w:noProof/>
            <w:webHidden/>
          </w:rPr>
          <w:fldChar w:fldCharType="separate"/>
        </w:r>
        <w:r w:rsidR="00D60E21">
          <w:rPr>
            <w:noProof/>
            <w:webHidden/>
          </w:rPr>
          <w:t>472</w:t>
        </w:r>
        <w:r w:rsidR="00BF1301">
          <w:rPr>
            <w:noProof/>
            <w:webHidden/>
          </w:rPr>
          <w:fldChar w:fldCharType="end"/>
        </w:r>
      </w:hyperlink>
    </w:p>
    <w:p w14:paraId="508083D6" w14:textId="54B06638" w:rsidR="00BF1301" w:rsidRDefault="00B14886">
      <w:pPr>
        <w:pStyle w:val="Spistreci3"/>
        <w:tabs>
          <w:tab w:val="right" w:leader="dot" w:pos="9396"/>
        </w:tabs>
        <w:rPr>
          <w:rFonts w:eastAsiaTheme="minorEastAsia" w:cstheme="minorBidi"/>
          <w:noProof/>
          <w:sz w:val="22"/>
          <w:szCs w:val="22"/>
        </w:rPr>
      </w:pPr>
      <w:hyperlink w:anchor="_Toc235079853" w:history="1">
        <w:r w:rsidR="00BF1301" w:rsidRPr="004E5027">
          <w:rPr>
            <w:rStyle w:val="Hipercze"/>
            <w:rFonts w:ascii="Calibri" w:hAnsi="Calibri"/>
            <w:noProof/>
          </w:rPr>
          <w:t>Działanie FESL.10.21 Wsparcie pracowników zaangażowanych w proces transformacji</w:t>
        </w:r>
        <w:r w:rsidR="00BF1301">
          <w:rPr>
            <w:noProof/>
            <w:webHidden/>
          </w:rPr>
          <w:tab/>
        </w:r>
        <w:r w:rsidR="00BF1301">
          <w:rPr>
            <w:noProof/>
            <w:webHidden/>
          </w:rPr>
          <w:fldChar w:fldCharType="begin"/>
        </w:r>
        <w:r w:rsidR="00BF1301">
          <w:rPr>
            <w:noProof/>
            <w:webHidden/>
          </w:rPr>
          <w:instrText xml:space="preserve"> PAGEREF _Toc235079853 \h </w:instrText>
        </w:r>
        <w:r w:rsidR="00BF1301">
          <w:rPr>
            <w:noProof/>
            <w:webHidden/>
          </w:rPr>
        </w:r>
        <w:r w:rsidR="00BF1301">
          <w:rPr>
            <w:noProof/>
            <w:webHidden/>
          </w:rPr>
          <w:fldChar w:fldCharType="separate"/>
        </w:r>
        <w:r w:rsidR="00D60E21">
          <w:rPr>
            <w:noProof/>
            <w:webHidden/>
          </w:rPr>
          <w:t>475</w:t>
        </w:r>
        <w:r w:rsidR="00BF1301">
          <w:rPr>
            <w:noProof/>
            <w:webHidden/>
          </w:rPr>
          <w:fldChar w:fldCharType="end"/>
        </w:r>
      </w:hyperlink>
    </w:p>
    <w:p w14:paraId="6D4E911D" w14:textId="6DB099FE" w:rsidR="00BF1301" w:rsidRDefault="00B14886">
      <w:pPr>
        <w:pStyle w:val="Spistreci3"/>
        <w:tabs>
          <w:tab w:val="right" w:leader="dot" w:pos="9396"/>
        </w:tabs>
        <w:rPr>
          <w:rFonts w:eastAsiaTheme="minorEastAsia" w:cstheme="minorBidi"/>
          <w:noProof/>
          <w:sz w:val="22"/>
          <w:szCs w:val="22"/>
        </w:rPr>
      </w:pPr>
      <w:hyperlink w:anchor="_Toc235079854" w:history="1">
        <w:r w:rsidR="00BF1301" w:rsidRPr="004E5027">
          <w:rPr>
            <w:rStyle w:val="Hipercze"/>
            <w:rFonts w:ascii="Calibri" w:hAnsi="Calibri"/>
            <w:noProof/>
          </w:rPr>
          <w:t>Działanie FESL.10.22 Regionalne Obserwatorium Procesu Transformacji - FST</w:t>
        </w:r>
        <w:r w:rsidR="00BF1301">
          <w:rPr>
            <w:noProof/>
            <w:webHidden/>
          </w:rPr>
          <w:tab/>
        </w:r>
        <w:r w:rsidR="00BF1301">
          <w:rPr>
            <w:noProof/>
            <w:webHidden/>
          </w:rPr>
          <w:fldChar w:fldCharType="begin"/>
        </w:r>
        <w:r w:rsidR="00BF1301">
          <w:rPr>
            <w:noProof/>
            <w:webHidden/>
          </w:rPr>
          <w:instrText xml:space="preserve"> PAGEREF _Toc235079854 \h </w:instrText>
        </w:r>
        <w:r w:rsidR="00BF1301">
          <w:rPr>
            <w:noProof/>
            <w:webHidden/>
          </w:rPr>
        </w:r>
        <w:r w:rsidR="00BF1301">
          <w:rPr>
            <w:noProof/>
            <w:webHidden/>
          </w:rPr>
          <w:fldChar w:fldCharType="separate"/>
        </w:r>
        <w:r w:rsidR="00D60E21">
          <w:rPr>
            <w:noProof/>
            <w:webHidden/>
          </w:rPr>
          <w:t>479</w:t>
        </w:r>
        <w:r w:rsidR="00BF1301">
          <w:rPr>
            <w:noProof/>
            <w:webHidden/>
          </w:rPr>
          <w:fldChar w:fldCharType="end"/>
        </w:r>
      </w:hyperlink>
    </w:p>
    <w:p w14:paraId="7A2206B5" w14:textId="349879E2" w:rsidR="00BF1301" w:rsidRDefault="00B14886">
      <w:pPr>
        <w:pStyle w:val="Spistreci3"/>
        <w:tabs>
          <w:tab w:val="right" w:leader="dot" w:pos="9396"/>
        </w:tabs>
        <w:rPr>
          <w:rFonts w:eastAsiaTheme="minorEastAsia" w:cstheme="minorBidi"/>
          <w:noProof/>
          <w:sz w:val="22"/>
          <w:szCs w:val="22"/>
        </w:rPr>
      </w:pPr>
      <w:hyperlink w:anchor="_Toc235079855" w:history="1">
        <w:r w:rsidR="00BF1301" w:rsidRPr="004E5027">
          <w:rPr>
            <w:rStyle w:val="Hipercze"/>
            <w:rFonts w:ascii="Calibri" w:hAnsi="Calibri"/>
            <w:noProof/>
          </w:rPr>
          <w:t>Działanie FESL.10.23 Edukacja zawodowa w procesie sprawiedliwej transformacji regionu</w:t>
        </w:r>
        <w:r w:rsidR="00BF1301">
          <w:rPr>
            <w:noProof/>
            <w:webHidden/>
          </w:rPr>
          <w:tab/>
        </w:r>
        <w:r w:rsidR="00BF1301">
          <w:rPr>
            <w:noProof/>
            <w:webHidden/>
          </w:rPr>
          <w:fldChar w:fldCharType="begin"/>
        </w:r>
        <w:r w:rsidR="00BF1301">
          <w:rPr>
            <w:noProof/>
            <w:webHidden/>
          </w:rPr>
          <w:instrText xml:space="preserve"> PAGEREF _Toc235079855 \h </w:instrText>
        </w:r>
        <w:r w:rsidR="00BF1301">
          <w:rPr>
            <w:noProof/>
            <w:webHidden/>
          </w:rPr>
        </w:r>
        <w:r w:rsidR="00BF1301">
          <w:rPr>
            <w:noProof/>
            <w:webHidden/>
          </w:rPr>
          <w:fldChar w:fldCharType="separate"/>
        </w:r>
        <w:r w:rsidR="00D60E21">
          <w:rPr>
            <w:noProof/>
            <w:webHidden/>
          </w:rPr>
          <w:t>482</w:t>
        </w:r>
        <w:r w:rsidR="00BF1301">
          <w:rPr>
            <w:noProof/>
            <w:webHidden/>
          </w:rPr>
          <w:fldChar w:fldCharType="end"/>
        </w:r>
      </w:hyperlink>
    </w:p>
    <w:p w14:paraId="066853A8" w14:textId="0EB2C77A" w:rsidR="00BF1301" w:rsidRDefault="00B14886">
      <w:pPr>
        <w:pStyle w:val="Spistreci3"/>
        <w:tabs>
          <w:tab w:val="right" w:leader="dot" w:pos="9396"/>
        </w:tabs>
        <w:rPr>
          <w:rFonts w:eastAsiaTheme="minorEastAsia" w:cstheme="minorBidi"/>
          <w:noProof/>
          <w:sz w:val="22"/>
          <w:szCs w:val="22"/>
        </w:rPr>
      </w:pPr>
      <w:hyperlink w:anchor="_Toc235079856" w:history="1">
        <w:r w:rsidR="00BF1301" w:rsidRPr="004E5027">
          <w:rPr>
            <w:rStyle w:val="Hipercze"/>
            <w:rFonts w:ascii="Calibri" w:hAnsi="Calibri"/>
            <w:noProof/>
          </w:rPr>
          <w:t>Działanie FESL.10.24 Włączenie społeczne - wzmocnienie procesu sprawiedliwej transformacji</w:t>
        </w:r>
        <w:r w:rsidR="00BF1301">
          <w:rPr>
            <w:noProof/>
            <w:webHidden/>
          </w:rPr>
          <w:tab/>
        </w:r>
        <w:r w:rsidR="00BF1301">
          <w:rPr>
            <w:noProof/>
            <w:webHidden/>
          </w:rPr>
          <w:fldChar w:fldCharType="begin"/>
        </w:r>
        <w:r w:rsidR="00BF1301">
          <w:rPr>
            <w:noProof/>
            <w:webHidden/>
          </w:rPr>
          <w:instrText xml:space="preserve"> PAGEREF _Toc235079856 \h </w:instrText>
        </w:r>
        <w:r w:rsidR="00BF1301">
          <w:rPr>
            <w:noProof/>
            <w:webHidden/>
          </w:rPr>
        </w:r>
        <w:r w:rsidR="00BF1301">
          <w:rPr>
            <w:noProof/>
            <w:webHidden/>
          </w:rPr>
          <w:fldChar w:fldCharType="separate"/>
        </w:r>
        <w:r w:rsidR="00D60E21">
          <w:rPr>
            <w:noProof/>
            <w:webHidden/>
          </w:rPr>
          <w:t>486</w:t>
        </w:r>
        <w:r w:rsidR="00BF1301">
          <w:rPr>
            <w:noProof/>
            <w:webHidden/>
          </w:rPr>
          <w:fldChar w:fldCharType="end"/>
        </w:r>
      </w:hyperlink>
    </w:p>
    <w:p w14:paraId="6B5DF7EB" w14:textId="0E3CFA31" w:rsidR="00BF1301" w:rsidRDefault="00B14886">
      <w:pPr>
        <w:pStyle w:val="Spistreci3"/>
        <w:tabs>
          <w:tab w:val="right" w:leader="dot" w:pos="9396"/>
        </w:tabs>
        <w:rPr>
          <w:rFonts w:eastAsiaTheme="minorEastAsia" w:cstheme="minorBidi"/>
          <w:noProof/>
          <w:sz w:val="22"/>
          <w:szCs w:val="22"/>
        </w:rPr>
      </w:pPr>
      <w:hyperlink w:anchor="_Toc235079857" w:history="1">
        <w:r w:rsidR="00BF1301" w:rsidRPr="004E5027">
          <w:rPr>
            <w:rStyle w:val="Hipercze"/>
            <w:rFonts w:ascii="Calibri" w:hAnsi="Calibri"/>
            <w:noProof/>
          </w:rPr>
          <w:t>Działanie FESL.10.25 Rozwój kształcenia wyższego zgodnie z potrzebami zielonej gospodarki</w:t>
        </w:r>
        <w:r w:rsidR="00BF1301">
          <w:rPr>
            <w:noProof/>
            <w:webHidden/>
          </w:rPr>
          <w:tab/>
        </w:r>
        <w:r w:rsidR="00BF1301">
          <w:rPr>
            <w:noProof/>
            <w:webHidden/>
          </w:rPr>
          <w:fldChar w:fldCharType="begin"/>
        </w:r>
        <w:r w:rsidR="00BF1301">
          <w:rPr>
            <w:noProof/>
            <w:webHidden/>
          </w:rPr>
          <w:instrText xml:space="preserve"> PAGEREF _Toc235079857 \h </w:instrText>
        </w:r>
        <w:r w:rsidR="00BF1301">
          <w:rPr>
            <w:noProof/>
            <w:webHidden/>
          </w:rPr>
        </w:r>
        <w:r w:rsidR="00BF1301">
          <w:rPr>
            <w:noProof/>
            <w:webHidden/>
          </w:rPr>
          <w:fldChar w:fldCharType="separate"/>
        </w:r>
        <w:r w:rsidR="00D60E21">
          <w:rPr>
            <w:noProof/>
            <w:webHidden/>
          </w:rPr>
          <w:t>489</w:t>
        </w:r>
        <w:r w:rsidR="00BF1301">
          <w:rPr>
            <w:noProof/>
            <w:webHidden/>
          </w:rPr>
          <w:fldChar w:fldCharType="end"/>
        </w:r>
      </w:hyperlink>
    </w:p>
    <w:p w14:paraId="0EFCF2CD" w14:textId="234B8047" w:rsidR="00BF1301" w:rsidRDefault="00B14886">
      <w:pPr>
        <w:pStyle w:val="Spistreci3"/>
        <w:tabs>
          <w:tab w:val="right" w:leader="dot" w:pos="9396"/>
        </w:tabs>
        <w:rPr>
          <w:rFonts w:eastAsiaTheme="minorEastAsia" w:cstheme="minorBidi"/>
          <w:noProof/>
          <w:sz w:val="22"/>
          <w:szCs w:val="22"/>
        </w:rPr>
      </w:pPr>
      <w:hyperlink w:anchor="_Toc235079858" w:history="1">
        <w:r w:rsidR="00BF1301" w:rsidRPr="004E5027">
          <w:rPr>
            <w:rStyle w:val="Hipercze"/>
            <w:rFonts w:ascii="Calibri" w:hAnsi="Calibri"/>
            <w:noProof/>
          </w:rPr>
          <w:t>Działanie FESL.10.26 Wzmocnienie procesu sprawiedliwej transformacji w regionie</w:t>
        </w:r>
        <w:r w:rsidR="00BF1301">
          <w:rPr>
            <w:noProof/>
            <w:webHidden/>
          </w:rPr>
          <w:tab/>
        </w:r>
        <w:r w:rsidR="00BF1301">
          <w:rPr>
            <w:noProof/>
            <w:webHidden/>
          </w:rPr>
          <w:fldChar w:fldCharType="begin"/>
        </w:r>
        <w:r w:rsidR="00BF1301">
          <w:rPr>
            <w:noProof/>
            <w:webHidden/>
          </w:rPr>
          <w:instrText xml:space="preserve"> PAGEREF _Toc235079858 \h </w:instrText>
        </w:r>
        <w:r w:rsidR="00BF1301">
          <w:rPr>
            <w:noProof/>
            <w:webHidden/>
          </w:rPr>
        </w:r>
        <w:r w:rsidR="00BF1301">
          <w:rPr>
            <w:noProof/>
            <w:webHidden/>
          </w:rPr>
          <w:fldChar w:fldCharType="separate"/>
        </w:r>
        <w:r w:rsidR="00D60E21">
          <w:rPr>
            <w:noProof/>
            <w:webHidden/>
          </w:rPr>
          <w:t>493</w:t>
        </w:r>
        <w:r w:rsidR="00BF1301">
          <w:rPr>
            <w:noProof/>
            <w:webHidden/>
          </w:rPr>
          <w:fldChar w:fldCharType="end"/>
        </w:r>
      </w:hyperlink>
    </w:p>
    <w:p w14:paraId="18FB62D7" w14:textId="6017A326" w:rsidR="00BF1301" w:rsidRDefault="00B14886">
      <w:pPr>
        <w:pStyle w:val="Spistreci3"/>
        <w:tabs>
          <w:tab w:val="right" w:leader="dot" w:pos="9396"/>
        </w:tabs>
        <w:rPr>
          <w:rFonts w:eastAsiaTheme="minorEastAsia" w:cstheme="minorBidi"/>
          <w:noProof/>
          <w:sz w:val="22"/>
          <w:szCs w:val="22"/>
        </w:rPr>
      </w:pPr>
      <w:hyperlink w:anchor="_Toc235079859" w:history="1">
        <w:r w:rsidR="00BF1301" w:rsidRPr="004E5027">
          <w:rPr>
            <w:rStyle w:val="Hipercze"/>
            <w:rFonts w:ascii="Calibri" w:hAnsi="Calibri"/>
            <w:noProof/>
          </w:rPr>
          <w:t>Działanie FESL.10.27 Wsparcie infrastrukturalne na rzecz włączenia społecznego</w:t>
        </w:r>
        <w:r w:rsidR="00BF1301">
          <w:rPr>
            <w:noProof/>
            <w:webHidden/>
          </w:rPr>
          <w:tab/>
        </w:r>
        <w:r w:rsidR="00BF1301">
          <w:rPr>
            <w:noProof/>
            <w:webHidden/>
          </w:rPr>
          <w:fldChar w:fldCharType="begin"/>
        </w:r>
        <w:r w:rsidR="00BF1301">
          <w:rPr>
            <w:noProof/>
            <w:webHidden/>
          </w:rPr>
          <w:instrText xml:space="preserve"> PAGEREF _Toc235079859 \h </w:instrText>
        </w:r>
        <w:r w:rsidR="00BF1301">
          <w:rPr>
            <w:noProof/>
            <w:webHidden/>
          </w:rPr>
        </w:r>
        <w:r w:rsidR="00BF1301">
          <w:rPr>
            <w:noProof/>
            <w:webHidden/>
          </w:rPr>
          <w:fldChar w:fldCharType="separate"/>
        </w:r>
        <w:r w:rsidR="00D60E21">
          <w:rPr>
            <w:noProof/>
            <w:webHidden/>
          </w:rPr>
          <w:t>496</w:t>
        </w:r>
        <w:r w:rsidR="00BF1301">
          <w:rPr>
            <w:noProof/>
            <w:webHidden/>
          </w:rPr>
          <w:fldChar w:fldCharType="end"/>
        </w:r>
      </w:hyperlink>
    </w:p>
    <w:p w14:paraId="7F0B86B4" w14:textId="33F14B0C" w:rsidR="00BF1301" w:rsidRDefault="00B14886">
      <w:pPr>
        <w:pStyle w:val="Spistreci2"/>
        <w:tabs>
          <w:tab w:val="right" w:leader="dot" w:pos="9396"/>
        </w:tabs>
        <w:rPr>
          <w:rFonts w:eastAsiaTheme="minorEastAsia" w:cstheme="minorBidi"/>
          <w:noProof/>
          <w:sz w:val="22"/>
          <w:szCs w:val="22"/>
        </w:rPr>
      </w:pPr>
      <w:hyperlink w:anchor="_Toc235079860" w:history="1">
        <w:r w:rsidR="00BF1301" w:rsidRPr="004E5027">
          <w:rPr>
            <w:rStyle w:val="Hipercze"/>
            <w:rFonts w:ascii="Calibri" w:hAnsi="Calibri"/>
            <w:noProof/>
          </w:rPr>
          <w:t>Priorytet FESL.11 Fundusze Europejskie na pomoc techniczną EFRR</w:t>
        </w:r>
        <w:r w:rsidR="00BF1301">
          <w:rPr>
            <w:noProof/>
            <w:webHidden/>
          </w:rPr>
          <w:tab/>
        </w:r>
        <w:r w:rsidR="00BF1301">
          <w:rPr>
            <w:noProof/>
            <w:webHidden/>
          </w:rPr>
          <w:fldChar w:fldCharType="begin"/>
        </w:r>
        <w:r w:rsidR="00BF1301">
          <w:rPr>
            <w:noProof/>
            <w:webHidden/>
          </w:rPr>
          <w:instrText xml:space="preserve"> PAGEREF _Toc235079860 \h </w:instrText>
        </w:r>
        <w:r w:rsidR="00BF1301">
          <w:rPr>
            <w:noProof/>
            <w:webHidden/>
          </w:rPr>
        </w:r>
        <w:r w:rsidR="00BF1301">
          <w:rPr>
            <w:noProof/>
            <w:webHidden/>
          </w:rPr>
          <w:fldChar w:fldCharType="separate"/>
        </w:r>
        <w:r w:rsidR="00D60E21">
          <w:rPr>
            <w:noProof/>
            <w:webHidden/>
          </w:rPr>
          <w:t>499</w:t>
        </w:r>
        <w:r w:rsidR="00BF1301">
          <w:rPr>
            <w:noProof/>
            <w:webHidden/>
          </w:rPr>
          <w:fldChar w:fldCharType="end"/>
        </w:r>
      </w:hyperlink>
    </w:p>
    <w:p w14:paraId="783B94DC" w14:textId="7AFDC84E" w:rsidR="00BF1301" w:rsidRDefault="00B14886">
      <w:pPr>
        <w:pStyle w:val="Spistreci3"/>
        <w:tabs>
          <w:tab w:val="right" w:leader="dot" w:pos="9396"/>
        </w:tabs>
        <w:rPr>
          <w:rFonts w:eastAsiaTheme="minorEastAsia" w:cstheme="minorBidi"/>
          <w:noProof/>
          <w:sz w:val="22"/>
          <w:szCs w:val="22"/>
        </w:rPr>
      </w:pPr>
      <w:hyperlink w:anchor="_Toc235079861" w:history="1">
        <w:r w:rsidR="00BF1301" w:rsidRPr="004E5027">
          <w:rPr>
            <w:rStyle w:val="Hipercze"/>
            <w:rFonts w:ascii="Calibri" w:hAnsi="Calibri"/>
            <w:noProof/>
          </w:rPr>
          <w:t>Działanie FESL.11.01 Pomoc Techniczna EFRR</w:t>
        </w:r>
        <w:r w:rsidR="00BF1301">
          <w:rPr>
            <w:noProof/>
            <w:webHidden/>
          </w:rPr>
          <w:tab/>
        </w:r>
        <w:r w:rsidR="00BF1301">
          <w:rPr>
            <w:noProof/>
            <w:webHidden/>
          </w:rPr>
          <w:fldChar w:fldCharType="begin"/>
        </w:r>
        <w:r w:rsidR="00BF1301">
          <w:rPr>
            <w:noProof/>
            <w:webHidden/>
          </w:rPr>
          <w:instrText xml:space="preserve"> PAGEREF _Toc235079861 \h </w:instrText>
        </w:r>
        <w:r w:rsidR="00BF1301">
          <w:rPr>
            <w:noProof/>
            <w:webHidden/>
          </w:rPr>
        </w:r>
        <w:r w:rsidR="00BF1301">
          <w:rPr>
            <w:noProof/>
            <w:webHidden/>
          </w:rPr>
          <w:fldChar w:fldCharType="separate"/>
        </w:r>
        <w:r w:rsidR="00D60E21">
          <w:rPr>
            <w:noProof/>
            <w:webHidden/>
          </w:rPr>
          <w:t>500</w:t>
        </w:r>
        <w:r w:rsidR="00BF1301">
          <w:rPr>
            <w:noProof/>
            <w:webHidden/>
          </w:rPr>
          <w:fldChar w:fldCharType="end"/>
        </w:r>
      </w:hyperlink>
    </w:p>
    <w:p w14:paraId="20CAA44D" w14:textId="403259C3" w:rsidR="00BF1301" w:rsidRDefault="00B14886">
      <w:pPr>
        <w:pStyle w:val="Spistreci2"/>
        <w:tabs>
          <w:tab w:val="right" w:leader="dot" w:pos="9396"/>
        </w:tabs>
        <w:rPr>
          <w:rFonts w:eastAsiaTheme="minorEastAsia" w:cstheme="minorBidi"/>
          <w:noProof/>
          <w:sz w:val="22"/>
          <w:szCs w:val="22"/>
        </w:rPr>
      </w:pPr>
      <w:hyperlink w:anchor="_Toc235079862" w:history="1">
        <w:r w:rsidR="00BF1301" w:rsidRPr="004E5027">
          <w:rPr>
            <w:rStyle w:val="Hipercze"/>
            <w:rFonts w:ascii="Calibri" w:hAnsi="Calibri"/>
            <w:noProof/>
          </w:rPr>
          <w:t>Priorytet FESL.12 Fundusze Europejskie na pomoc techniczną EFS+</w:t>
        </w:r>
        <w:r w:rsidR="00BF1301">
          <w:rPr>
            <w:noProof/>
            <w:webHidden/>
          </w:rPr>
          <w:tab/>
        </w:r>
        <w:r w:rsidR="00BF1301">
          <w:rPr>
            <w:noProof/>
            <w:webHidden/>
          </w:rPr>
          <w:fldChar w:fldCharType="begin"/>
        </w:r>
        <w:r w:rsidR="00BF1301">
          <w:rPr>
            <w:noProof/>
            <w:webHidden/>
          </w:rPr>
          <w:instrText xml:space="preserve"> PAGEREF _Toc235079862 \h </w:instrText>
        </w:r>
        <w:r w:rsidR="00BF1301">
          <w:rPr>
            <w:noProof/>
            <w:webHidden/>
          </w:rPr>
        </w:r>
        <w:r w:rsidR="00BF1301">
          <w:rPr>
            <w:noProof/>
            <w:webHidden/>
          </w:rPr>
          <w:fldChar w:fldCharType="separate"/>
        </w:r>
        <w:r w:rsidR="00D60E21">
          <w:rPr>
            <w:noProof/>
            <w:webHidden/>
          </w:rPr>
          <w:t>505</w:t>
        </w:r>
        <w:r w:rsidR="00BF1301">
          <w:rPr>
            <w:noProof/>
            <w:webHidden/>
          </w:rPr>
          <w:fldChar w:fldCharType="end"/>
        </w:r>
      </w:hyperlink>
    </w:p>
    <w:p w14:paraId="190DD280" w14:textId="3429FAEF" w:rsidR="00BF1301" w:rsidRDefault="00B14886">
      <w:pPr>
        <w:pStyle w:val="Spistreci3"/>
        <w:tabs>
          <w:tab w:val="right" w:leader="dot" w:pos="9396"/>
        </w:tabs>
        <w:rPr>
          <w:rFonts w:eastAsiaTheme="minorEastAsia" w:cstheme="minorBidi"/>
          <w:noProof/>
          <w:sz w:val="22"/>
          <w:szCs w:val="22"/>
        </w:rPr>
      </w:pPr>
      <w:hyperlink w:anchor="_Toc235079863" w:history="1">
        <w:r w:rsidR="00BF1301" w:rsidRPr="004E5027">
          <w:rPr>
            <w:rStyle w:val="Hipercze"/>
            <w:rFonts w:ascii="Calibri" w:hAnsi="Calibri"/>
            <w:noProof/>
          </w:rPr>
          <w:t>Działanie FESL.12.01 Pomoc Techniczna EFS+</w:t>
        </w:r>
        <w:r w:rsidR="00BF1301">
          <w:rPr>
            <w:noProof/>
            <w:webHidden/>
          </w:rPr>
          <w:tab/>
        </w:r>
        <w:r w:rsidR="00BF1301">
          <w:rPr>
            <w:noProof/>
            <w:webHidden/>
          </w:rPr>
          <w:fldChar w:fldCharType="begin"/>
        </w:r>
        <w:r w:rsidR="00BF1301">
          <w:rPr>
            <w:noProof/>
            <w:webHidden/>
          </w:rPr>
          <w:instrText xml:space="preserve"> PAGEREF _Toc235079863 \h </w:instrText>
        </w:r>
        <w:r w:rsidR="00BF1301">
          <w:rPr>
            <w:noProof/>
            <w:webHidden/>
          </w:rPr>
        </w:r>
        <w:r w:rsidR="00BF1301">
          <w:rPr>
            <w:noProof/>
            <w:webHidden/>
          </w:rPr>
          <w:fldChar w:fldCharType="separate"/>
        </w:r>
        <w:r w:rsidR="00D60E21">
          <w:rPr>
            <w:noProof/>
            <w:webHidden/>
          </w:rPr>
          <w:t>506</w:t>
        </w:r>
        <w:r w:rsidR="00BF1301">
          <w:rPr>
            <w:noProof/>
            <w:webHidden/>
          </w:rPr>
          <w:fldChar w:fldCharType="end"/>
        </w:r>
      </w:hyperlink>
    </w:p>
    <w:p w14:paraId="425138A4" w14:textId="2B35F2D9" w:rsidR="00BF1301" w:rsidRDefault="00B14886">
      <w:pPr>
        <w:pStyle w:val="Spistreci2"/>
        <w:tabs>
          <w:tab w:val="right" w:leader="dot" w:pos="9396"/>
        </w:tabs>
        <w:rPr>
          <w:rFonts w:eastAsiaTheme="minorEastAsia" w:cstheme="minorBidi"/>
          <w:noProof/>
          <w:sz w:val="22"/>
          <w:szCs w:val="22"/>
        </w:rPr>
      </w:pPr>
      <w:hyperlink w:anchor="_Toc235079864" w:history="1">
        <w:r w:rsidR="00BF1301" w:rsidRPr="004E5027">
          <w:rPr>
            <w:rStyle w:val="Hipercze"/>
            <w:rFonts w:ascii="Calibri" w:hAnsi="Calibri"/>
            <w:noProof/>
          </w:rPr>
          <w:t>Priorytet FESL.13 Fundusze Europejskie na pomoc techniczną FST</w:t>
        </w:r>
        <w:r w:rsidR="00BF1301">
          <w:rPr>
            <w:noProof/>
            <w:webHidden/>
          </w:rPr>
          <w:tab/>
        </w:r>
        <w:r w:rsidR="00BF1301">
          <w:rPr>
            <w:noProof/>
            <w:webHidden/>
          </w:rPr>
          <w:fldChar w:fldCharType="begin"/>
        </w:r>
        <w:r w:rsidR="00BF1301">
          <w:rPr>
            <w:noProof/>
            <w:webHidden/>
          </w:rPr>
          <w:instrText xml:space="preserve"> PAGEREF _Toc235079864 \h </w:instrText>
        </w:r>
        <w:r w:rsidR="00BF1301">
          <w:rPr>
            <w:noProof/>
            <w:webHidden/>
          </w:rPr>
        </w:r>
        <w:r w:rsidR="00BF1301">
          <w:rPr>
            <w:noProof/>
            <w:webHidden/>
          </w:rPr>
          <w:fldChar w:fldCharType="separate"/>
        </w:r>
        <w:r w:rsidR="00D60E21">
          <w:rPr>
            <w:noProof/>
            <w:webHidden/>
          </w:rPr>
          <w:t>510</w:t>
        </w:r>
        <w:r w:rsidR="00BF1301">
          <w:rPr>
            <w:noProof/>
            <w:webHidden/>
          </w:rPr>
          <w:fldChar w:fldCharType="end"/>
        </w:r>
      </w:hyperlink>
    </w:p>
    <w:p w14:paraId="40F6B1A3" w14:textId="043C0FF0" w:rsidR="00BF1301" w:rsidRDefault="00B14886">
      <w:pPr>
        <w:pStyle w:val="Spistreci3"/>
        <w:tabs>
          <w:tab w:val="right" w:leader="dot" w:pos="9396"/>
        </w:tabs>
        <w:rPr>
          <w:rFonts w:eastAsiaTheme="minorEastAsia" w:cstheme="minorBidi"/>
          <w:noProof/>
          <w:sz w:val="22"/>
          <w:szCs w:val="22"/>
        </w:rPr>
      </w:pPr>
      <w:hyperlink w:anchor="_Toc235079865" w:history="1">
        <w:r w:rsidR="00BF1301" w:rsidRPr="004E5027">
          <w:rPr>
            <w:rStyle w:val="Hipercze"/>
            <w:rFonts w:ascii="Calibri" w:hAnsi="Calibri"/>
            <w:noProof/>
          </w:rPr>
          <w:t>Działanie FESL.13.01 Pomoc Techniczna FST</w:t>
        </w:r>
        <w:r w:rsidR="00BF1301">
          <w:rPr>
            <w:noProof/>
            <w:webHidden/>
          </w:rPr>
          <w:tab/>
        </w:r>
        <w:r w:rsidR="00BF1301">
          <w:rPr>
            <w:noProof/>
            <w:webHidden/>
          </w:rPr>
          <w:fldChar w:fldCharType="begin"/>
        </w:r>
        <w:r w:rsidR="00BF1301">
          <w:rPr>
            <w:noProof/>
            <w:webHidden/>
          </w:rPr>
          <w:instrText xml:space="preserve"> PAGEREF _Toc235079865 \h </w:instrText>
        </w:r>
        <w:r w:rsidR="00BF1301">
          <w:rPr>
            <w:noProof/>
            <w:webHidden/>
          </w:rPr>
        </w:r>
        <w:r w:rsidR="00BF1301">
          <w:rPr>
            <w:noProof/>
            <w:webHidden/>
          </w:rPr>
          <w:fldChar w:fldCharType="separate"/>
        </w:r>
        <w:r w:rsidR="00D60E21">
          <w:rPr>
            <w:noProof/>
            <w:webHidden/>
          </w:rPr>
          <w:t>511</w:t>
        </w:r>
        <w:r w:rsidR="00BF1301">
          <w:rPr>
            <w:noProof/>
            <w:webHidden/>
          </w:rPr>
          <w:fldChar w:fldCharType="end"/>
        </w:r>
      </w:hyperlink>
    </w:p>
    <w:p w14:paraId="53098DAF" w14:textId="10D4CE3A" w:rsidR="00BF1301" w:rsidRDefault="00B14886">
      <w:pPr>
        <w:pStyle w:val="Spistreci2"/>
        <w:tabs>
          <w:tab w:val="right" w:leader="dot" w:pos="9396"/>
        </w:tabs>
        <w:rPr>
          <w:rFonts w:eastAsiaTheme="minorEastAsia" w:cstheme="minorBidi"/>
          <w:noProof/>
          <w:sz w:val="22"/>
          <w:szCs w:val="22"/>
        </w:rPr>
      </w:pPr>
      <w:hyperlink w:anchor="_Toc235079866" w:history="1">
        <w:r w:rsidR="00BF1301" w:rsidRPr="004E5027">
          <w:rPr>
            <w:rStyle w:val="Hipercze"/>
            <w:rFonts w:ascii="Calibri" w:hAnsi="Calibri"/>
            <w:noProof/>
          </w:rPr>
          <w:t>Priorytet FESL.14 Fundusze Europejskie na odbudowę regionu po klęskach żywiołowych</w:t>
        </w:r>
        <w:r w:rsidR="00BF1301">
          <w:rPr>
            <w:noProof/>
            <w:webHidden/>
          </w:rPr>
          <w:tab/>
        </w:r>
        <w:r w:rsidR="00BF1301">
          <w:rPr>
            <w:noProof/>
            <w:webHidden/>
          </w:rPr>
          <w:fldChar w:fldCharType="begin"/>
        </w:r>
        <w:r w:rsidR="00BF1301">
          <w:rPr>
            <w:noProof/>
            <w:webHidden/>
          </w:rPr>
          <w:instrText xml:space="preserve"> PAGEREF _Toc235079866 \h </w:instrText>
        </w:r>
        <w:r w:rsidR="00BF1301">
          <w:rPr>
            <w:noProof/>
            <w:webHidden/>
          </w:rPr>
        </w:r>
        <w:r w:rsidR="00BF1301">
          <w:rPr>
            <w:noProof/>
            <w:webHidden/>
          </w:rPr>
          <w:fldChar w:fldCharType="separate"/>
        </w:r>
        <w:r w:rsidR="00D60E21">
          <w:rPr>
            <w:noProof/>
            <w:webHidden/>
          </w:rPr>
          <w:t>516</w:t>
        </w:r>
        <w:r w:rsidR="00BF1301">
          <w:rPr>
            <w:noProof/>
            <w:webHidden/>
          </w:rPr>
          <w:fldChar w:fldCharType="end"/>
        </w:r>
      </w:hyperlink>
    </w:p>
    <w:p w14:paraId="308D59C0" w14:textId="22F3A9A8" w:rsidR="00BF1301" w:rsidRDefault="00B14886">
      <w:pPr>
        <w:pStyle w:val="Spistreci3"/>
        <w:tabs>
          <w:tab w:val="right" w:leader="dot" w:pos="9396"/>
        </w:tabs>
        <w:rPr>
          <w:rFonts w:eastAsiaTheme="minorEastAsia" w:cstheme="minorBidi"/>
          <w:noProof/>
          <w:sz w:val="22"/>
          <w:szCs w:val="22"/>
        </w:rPr>
      </w:pPr>
      <w:hyperlink w:anchor="_Toc235079867" w:history="1">
        <w:r w:rsidR="00BF1301" w:rsidRPr="004E5027">
          <w:rPr>
            <w:rStyle w:val="Hipercze"/>
            <w:rFonts w:ascii="Calibri" w:hAnsi="Calibri"/>
            <w:noProof/>
          </w:rPr>
          <w:t>Działanie FESL.14.01 Odbudowa dróg lokalnych</w:t>
        </w:r>
        <w:r w:rsidR="00BF1301">
          <w:rPr>
            <w:noProof/>
            <w:webHidden/>
          </w:rPr>
          <w:tab/>
        </w:r>
        <w:r w:rsidR="00BF1301">
          <w:rPr>
            <w:noProof/>
            <w:webHidden/>
          </w:rPr>
          <w:fldChar w:fldCharType="begin"/>
        </w:r>
        <w:r w:rsidR="00BF1301">
          <w:rPr>
            <w:noProof/>
            <w:webHidden/>
          </w:rPr>
          <w:instrText xml:space="preserve"> PAGEREF _Toc235079867 \h </w:instrText>
        </w:r>
        <w:r w:rsidR="00BF1301">
          <w:rPr>
            <w:noProof/>
            <w:webHidden/>
          </w:rPr>
        </w:r>
        <w:r w:rsidR="00BF1301">
          <w:rPr>
            <w:noProof/>
            <w:webHidden/>
          </w:rPr>
          <w:fldChar w:fldCharType="separate"/>
        </w:r>
        <w:r w:rsidR="00D60E21">
          <w:rPr>
            <w:noProof/>
            <w:webHidden/>
          </w:rPr>
          <w:t>517</w:t>
        </w:r>
        <w:r w:rsidR="00BF1301">
          <w:rPr>
            <w:noProof/>
            <w:webHidden/>
          </w:rPr>
          <w:fldChar w:fldCharType="end"/>
        </w:r>
      </w:hyperlink>
    </w:p>
    <w:p w14:paraId="39B8F929" w14:textId="0484CEE7" w:rsidR="00BF1301" w:rsidRDefault="00B14886">
      <w:pPr>
        <w:pStyle w:val="Spistreci3"/>
        <w:tabs>
          <w:tab w:val="right" w:leader="dot" w:pos="9396"/>
        </w:tabs>
        <w:rPr>
          <w:rFonts w:eastAsiaTheme="minorEastAsia" w:cstheme="minorBidi"/>
          <w:noProof/>
          <w:sz w:val="22"/>
          <w:szCs w:val="22"/>
        </w:rPr>
      </w:pPr>
      <w:hyperlink w:anchor="_Toc235079868" w:history="1">
        <w:r w:rsidR="00BF1301" w:rsidRPr="004E5027">
          <w:rPr>
            <w:rStyle w:val="Hipercze"/>
            <w:rFonts w:ascii="Calibri" w:hAnsi="Calibri"/>
            <w:noProof/>
          </w:rPr>
          <w:t>Działanie FESL.14.02 Inwestycje chroniące przed powodzią</w:t>
        </w:r>
        <w:r w:rsidR="00BF1301">
          <w:rPr>
            <w:noProof/>
            <w:webHidden/>
          </w:rPr>
          <w:tab/>
        </w:r>
        <w:r w:rsidR="00BF1301">
          <w:rPr>
            <w:noProof/>
            <w:webHidden/>
          </w:rPr>
          <w:fldChar w:fldCharType="begin"/>
        </w:r>
        <w:r w:rsidR="00BF1301">
          <w:rPr>
            <w:noProof/>
            <w:webHidden/>
          </w:rPr>
          <w:instrText xml:space="preserve"> PAGEREF _Toc235079868 \h </w:instrText>
        </w:r>
        <w:r w:rsidR="00BF1301">
          <w:rPr>
            <w:noProof/>
            <w:webHidden/>
          </w:rPr>
        </w:r>
        <w:r w:rsidR="00BF1301">
          <w:rPr>
            <w:noProof/>
            <w:webHidden/>
          </w:rPr>
          <w:fldChar w:fldCharType="separate"/>
        </w:r>
        <w:r w:rsidR="00D60E21">
          <w:rPr>
            <w:noProof/>
            <w:webHidden/>
          </w:rPr>
          <w:t>522</w:t>
        </w:r>
        <w:r w:rsidR="00BF1301">
          <w:rPr>
            <w:noProof/>
            <w:webHidden/>
          </w:rPr>
          <w:fldChar w:fldCharType="end"/>
        </w:r>
      </w:hyperlink>
    </w:p>
    <w:p w14:paraId="083B6EA4" w14:textId="48FC3E67" w:rsidR="00BF1301" w:rsidRDefault="00B14886">
      <w:pPr>
        <w:pStyle w:val="Spistreci3"/>
        <w:tabs>
          <w:tab w:val="right" w:leader="dot" w:pos="9396"/>
        </w:tabs>
        <w:rPr>
          <w:rFonts w:eastAsiaTheme="minorEastAsia" w:cstheme="minorBidi"/>
          <w:noProof/>
          <w:sz w:val="22"/>
          <w:szCs w:val="22"/>
        </w:rPr>
      </w:pPr>
      <w:hyperlink w:anchor="_Toc235079869" w:history="1">
        <w:r w:rsidR="00BF1301" w:rsidRPr="004E5027">
          <w:rPr>
            <w:rStyle w:val="Hipercze"/>
            <w:rFonts w:ascii="Calibri" w:hAnsi="Calibri"/>
            <w:noProof/>
          </w:rPr>
          <w:t>Działanie FESL.14.03 Wzmocnienie potencjału służb ratowniczych na terenach powodziowych</w:t>
        </w:r>
        <w:r w:rsidR="00BF1301">
          <w:rPr>
            <w:noProof/>
            <w:webHidden/>
          </w:rPr>
          <w:tab/>
        </w:r>
        <w:r w:rsidR="00BF1301">
          <w:rPr>
            <w:noProof/>
            <w:webHidden/>
          </w:rPr>
          <w:fldChar w:fldCharType="begin"/>
        </w:r>
        <w:r w:rsidR="00BF1301">
          <w:rPr>
            <w:noProof/>
            <w:webHidden/>
          </w:rPr>
          <w:instrText xml:space="preserve"> PAGEREF _Toc235079869 \h </w:instrText>
        </w:r>
        <w:r w:rsidR="00BF1301">
          <w:rPr>
            <w:noProof/>
            <w:webHidden/>
          </w:rPr>
        </w:r>
        <w:r w:rsidR="00BF1301">
          <w:rPr>
            <w:noProof/>
            <w:webHidden/>
          </w:rPr>
          <w:fldChar w:fldCharType="separate"/>
        </w:r>
        <w:r w:rsidR="00D60E21">
          <w:rPr>
            <w:noProof/>
            <w:webHidden/>
          </w:rPr>
          <w:t>525</w:t>
        </w:r>
        <w:r w:rsidR="00BF1301">
          <w:rPr>
            <w:noProof/>
            <w:webHidden/>
          </w:rPr>
          <w:fldChar w:fldCharType="end"/>
        </w:r>
      </w:hyperlink>
    </w:p>
    <w:p w14:paraId="6B104DC3" w14:textId="6FB877A6" w:rsidR="00BF1301" w:rsidRDefault="00B14886">
      <w:pPr>
        <w:pStyle w:val="Spistreci2"/>
        <w:tabs>
          <w:tab w:val="right" w:leader="dot" w:pos="9396"/>
        </w:tabs>
        <w:rPr>
          <w:rFonts w:eastAsiaTheme="minorEastAsia" w:cstheme="minorBidi"/>
          <w:noProof/>
          <w:sz w:val="22"/>
          <w:szCs w:val="22"/>
        </w:rPr>
      </w:pPr>
      <w:hyperlink w:anchor="_Toc235079870" w:history="1">
        <w:r w:rsidR="00BF1301" w:rsidRPr="004E5027">
          <w:rPr>
            <w:rStyle w:val="Hipercze"/>
            <w:rFonts w:ascii="Calibri" w:hAnsi="Calibri"/>
            <w:noProof/>
          </w:rPr>
          <w:t>Priorytet FESL.15 Fundusze Europejskie na zwiększenie potencjału przemysłu obronnego</w:t>
        </w:r>
        <w:r w:rsidR="00BF1301">
          <w:rPr>
            <w:noProof/>
            <w:webHidden/>
          </w:rPr>
          <w:tab/>
        </w:r>
        <w:r w:rsidR="00BF1301">
          <w:rPr>
            <w:noProof/>
            <w:webHidden/>
          </w:rPr>
          <w:fldChar w:fldCharType="begin"/>
        </w:r>
        <w:r w:rsidR="00BF1301">
          <w:rPr>
            <w:noProof/>
            <w:webHidden/>
          </w:rPr>
          <w:instrText xml:space="preserve"> PAGEREF _Toc235079870 \h </w:instrText>
        </w:r>
        <w:r w:rsidR="00BF1301">
          <w:rPr>
            <w:noProof/>
            <w:webHidden/>
          </w:rPr>
        </w:r>
        <w:r w:rsidR="00BF1301">
          <w:rPr>
            <w:noProof/>
            <w:webHidden/>
          </w:rPr>
          <w:fldChar w:fldCharType="separate"/>
        </w:r>
        <w:r w:rsidR="00D60E21">
          <w:rPr>
            <w:noProof/>
            <w:webHidden/>
          </w:rPr>
          <w:t>529</w:t>
        </w:r>
        <w:r w:rsidR="00BF1301">
          <w:rPr>
            <w:noProof/>
            <w:webHidden/>
          </w:rPr>
          <w:fldChar w:fldCharType="end"/>
        </w:r>
      </w:hyperlink>
    </w:p>
    <w:p w14:paraId="6B8416EA" w14:textId="44A88071" w:rsidR="00BF1301" w:rsidRDefault="00B14886">
      <w:pPr>
        <w:pStyle w:val="Spistreci3"/>
        <w:tabs>
          <w:tab w:val="right" w:leader="dot" w:pos="9396"/>
        </w:tabs>
        <w:rPr>
          <w:rFonts w:eastAsiaTheme="minorEastAsia" w:cstheme="minorBidi"/>
          <w:noProof/>
          <w:sz w:val="22"/>
          <w:szCs w:val="22"/>
        </w:rPr>
      </w:pPr>
      <w:hyperlink w:anchor="_Toc235079871" w:history="1">
        <w:r w:rsidR="00BF1301" w:rsidRPr="004E5027">
          <w:rPr>
            <w:rStyle w:val="Hipercze"/>
            <w:rFonts w:ascii="Calibri" w:hAnsi="Calibri"/>
            <w:noProof/>
          </w:rPr>
          <w:t>Działanie FESL.15.01 Zwiększenie potencjału przemysłu obronnego - przedsiębiorstwa dostarczające usługi i produkty dla sił zbrojnych</w:t>
        </w:r>
        <w:r w:rsidR="00BF1301">
          <w:rPr>
            <w:noProof/>
            <w:webHidden/>
          </w:rPr>
          <w:tab/>
        </w:r>
        <w:r w:rsidR="00BF1301">
          <w:rPr>
            <w:noProof/>
            <w:webHidden/>
          </w:rPr>
          <w:fldChar w:fldCharType="begin"/>
        </w:r>
        <w:r w:rsidR="00BF1301">
          <w:rPr>
            <w:noProof/>
            <w:webHidden/>
          </w:rPr>
          <w:instrText xml:space="preserve"> PAGEREF _Toc235079871 \h </w:instrText>
        </w:r>
        <w:r w:rsidR="00BF1301">
          <w:rPr>
            <w:noProof/>
            <w:webHidden/>
          </w:rPr>
        </w:r>
        <w:r w:rsidR="00BF1301">
          <w:rPr>
            <w:noProof/>
            <w:webHidden/>
          </w:rPr>
          <w:fldChar w:fldCharType="separate"/>
        </w:r>
        <w:r w:rsidR="00D60E21">
          <w:rPr>
            <w:noProof/>
            <w:webHidden/>
          </w:rPr>
          <w:t>530</w:t>
        </w:r>
        <w:r w:rsidR="00BF1301">
          <w:rPr>
            <w:noProof/>
            <w:webHidden/>
          </w:rPr>
          <w:fldChar w:fldCharType="end"/>
        </w:r>
      </w:hyperlink>
    </w:p>
    <w:p w14:paraId="4570108F" w14:textId="322665DA" w:rsidR="00BF1301" w:rsidRDefault="00B14886">
      <w:pPr>
        <w:pStyle w:val="Spistreci3"/>
        <w:tabs>
          <w:tab w:val="right" w:leader="dot" w:pos="9396"/>
        </w:tabs>
        <w:rPr>
          <w:rFonts w:eastAsiaTheme="minorEastAsia" w:cstheme="minorBidi"/>
          <w:noProof/>
          <w:sz w:val="22"/>
          <w:szCs w:val="22"/>
        </w:rPr>
      </w:pPr>
      <w:hyperlink w:anchor="_Toc235079872" w:history="1">
        <w:r w:rsidR="00BF1301" w:rsidRPr="004E5027">
          <w:rPr>
            <w:rStyle w:val="Hipercze"/>
            <w:rFonts w:ascii="Calibri" w:hAnsi="Calibri"/>
            <w:noProof/>
          </w:rPr>
          <w:t>Działanie FESL.15.02 Inwestycje w produkty podwójnego zastosowania - MŚP</w:t>
        </w:r>
        <w:r w:rsidR="00BF1301">
          <w:rPr>
            <w:noProof/>
            <w:webHidden/>
          </w:rPr>
          <w:tab/>
        </w:r>
        <w:r w:rsidR="00BF1301">
          <w:rPr>
            <w:noProof/>
            <w:webHidden/>
          </w:rPr>
          <w:fldChar w:fldCharType="begin"/>
        </w:r>
        <w:r w:rsidR="00BF1301">
          <w:rPr>
            <w:noProof/>
            <w:webHidden/>
          </w:rPr>
          <w:instrText xml:space="preserve"> PAGEREF _Toc235079872 \h </w:instrText>
        </w:r>
        <w:r w:rsidR="00BF1301">
          <w:rPr>
            <w:noProof/>
            <w:webHidden/>
          </w:rPr>
        </w:r>
        <w:r w:rsidR="00BF1301">
          <w:rPr>
            <w:noProof/>
            <w:webHidden/>
          </w:rPr>
          <w:fldChar w:fldCharType="separate"/>
        </w:r>
        <w:r w:rsidR="00D60E21">
          <w:rPr>
            <w:noProof/>
            <w:webHidden/>
          </w:rPr>
          <w:t>534</w:t>
        </w:r>
        <w:r w:rsidR="00BF1301">
          <w:rPr>
            <w:noProof/>
            <w:webHidden/>
          </w:rPr>
          <w:fldChar w:fldCharType="end"/>
        </w:r>
      </w:hyperlink>
    </w:p>
    <w:p w14:paraId="77381A08" w14:textId="4D57081C" w:rsidR="00BF1301" w:rsidRDefault="00B14886">
      <w:pPr>
        <w:pStyle w:val="Spistreci2"/>
        <w:tabs>
          <w:tab w:val="right" w:leader="dot" w:pos="9396"/>
        </w:tabs>
        <w:rPr>
          <w:rFonts w:eastAsiaTheme="minorEastAsia" w:cstheme="minorBidi"/>
          <w:noProof/>
          <w:sz w:val="22"/>
          <w:szCs w:val="22"/>
        </w:rPr>
      </w:pPr>
      <w:hyperlink w:anchor="_Toc235079873" w:history="1">
        <w:r w:rsidR="00BF1301" w:rsidRPr="004E5027">
          <w:rPr>
            <w:rStyle w:val="Hipercze"/>
            <w:rFonts w:ascii="Calibri" w:hAnsi="Calibri"/>
            <w:noProof/>
          </w:rPr>
          <w:t>Priorytet FESL.16 Fundusze Europejskie na rzecz bezpieczeństwa cywilnego i mobilności wojskowej</w:t>
        </w:r>
        <w:r w:rsidR="00BF1301">
          <w:rPr>
            <w:noProof/>
            <w:webHidden/>
          </w:rPr>
          <w:tab/>
        </w:r>
        <w:r w:rsidR="00BF1301">
          <w:rPr>
            <w:noProof/>
            <w:webHidden/>
          </w:rPr>
          <w:fldChar w:fldCharType="begin"/>
        </w:r>
        <w:r w:rsidR="00BF1301">
          <w:rPr>
            <w:noProof/>
            <w:webHidden/>
          </w:rPr>
          <w:instrText xml:space="preserve"> PAGEREF _Toc235079873 \h </w:instrText>
        </w:r>
        <w:r w:rsidR="00BF1301">
          <w:rPr>
            <w:noProof/>
            <w:webHidden/>
          </w:rPr>
        </w:r>
        <w:r w:rsidR="00BF1301">
          <w:rPr>
            <w:noProof/>
            <w:webHidden/>
          </w:rPr>
          <w:fldChar w:fldCharType="separate"/>
        </w:r>
        <w:r w:rsidR="00D60E21">
          <w:rPr>
            <w:noProof/>
            <w:webHidden/>
          </w:rPr>
          <w:t>538</w:t>
        </w:r>
        <w:r w:rsidR="00BF1301">
          <w:rPr>
            <w:noProof/>
            <w:webHidden/>
          </w:rPr>
          <w:fldChar w:fldCharType="end"/>
        </w:r>
      </w:hyperlink>
    </w:p>
    <w:p w14:paraId="3E4BAE2D" w14:textId="698ED0E8" w:rsidR="00BF1301" w:rsidRDefault="00B14886">
      <w:pPr>
        <w:pStyle w:val="Spistreci3"/>
        <w:tabs>
          <w:tab w:val="right" w:leader="dot" w:pos="9396"/>
        </w:tabs>
        <w:rPr>
          <w:rFonts w:eastAsiaTheme="minorEastAsia" w:cstheme="minorBidi"/>
          <w:noProof/>
          <w:sz w:val="22"/>
          <w:szCs w:val="22"/>
        </w:rPr>
      </w:pPr>
      <w:hyperlink w:anchor="_Toc235079874" w:history="1">
        <w:r w:rsidR="00BF1301" w:rsidRPr="004E5027">
          <w:rPr>
            <w:rStyle w:val="Hipercze"/>
            <w:rFonts w:ascii="Calibri" w:hAnsi="Calibri"/>
            <w:noProof/>
          </w:rPr>
          <w:t>Działanie FESL.16.01 Wzmocnienie infrastruktury wielozadaniowych zbiorników retencyjnych</w:t>
        </w:r>
        <w:r w:rsidR="00BF1301">
          <w:rPr>
            <w:noProof/>
            <w:webHidden/>
          </w:rPr>
          <w:tab/>
        </w:r>
        <w:r w:rsidR="00BF1301">
          <w:rPr>
            <w:noProof/>
            <w:webHidden/>
          </w:rPr>
          <w:fldChar w:fldCharType="begin"/>
        </w:r>
        <w:r w:rsidR="00BF1301">
          <w:rPr>
            <w:noProof/>
            <w:webHidden/>
          </w:rPr>
          <w:instrText xml:space="preserve"> PAGEREF _Toc235079874 \h </w:instrText>
        </w:r>
        <w:r w:rsidR="00BF1301">
          <w:rPr>
            <w:noProof/>
            <w:webHidden/>
          </w:rPr>
        </w:r>
        <w:r w:rsidR="00BF1301">
          <w:rPr>
            <w:noProof/>
            <w:webHidden/>
          </w:rPr>
          <w:fldChar w:fldCharType="separate"/>
        </w:r>
        <w:r w:rsidR="00D60E21">
          <w:rPr>
            <w:noProof/>
            <w:webHidden/>
          </w:rPr>
          <w:t>539</w:t>
        </w:r>
        <w:r w:rsidR="00BF1301">
          <w:rPr>
            <w:noProof/>
            <w:webHidden/>
          </w:rPr>
          <w:fldChar w:fldCharType="end"/>
        </w:r>
      </w:hyperlink>
    </w:p>
    <w:p w14:paraId="7865C531" w14:textId="11DB9AE3" w:rsidR="00BF1301" w:rsidRDefault="00B14886">
      <w:pPr>
        <w:pStyle w:val="Spistreci3"/>
        <w:tabs>
          <w:tab w:val="right" w:leader="dot" w:pos="9396"/>
        </w:tabs>
        <w:rPr>
          <w:rFonts w:eastAsiaTheme="minorEastAsia" w:cstheme="minorBidi"/>
          <w:noProof/>
          <w:sz w:val="22"/>
          <w:szCs w:val="22"/>
        </w:rPr>
      </w:pPr>
      <w:hyperlink w:anchor="_Toc235079875" w:history="1">
        <w:r w:rsidR="00BF1301" w:rsidRPr="004E5027">
          <w:rPr>
            <w:rStyle w:val="Hipercze"/>
            <w:rFonts w:ascii="Calibri" w:hAnsi="Calibri"/>
            <w:noProof/>
          </w:rPr>
          <w:t>Działanie FESL.16.02 Wzmocnienie potencjału infrastruktury edukacyjnej</w:t>
        </w:r>
        <w:r w:rsidR="00BF1301">
          <w:rPr>
            <w:noProof/>
            <w:webHidden/>
          </w:rPr>
          <w:tab/>
        </w:r>
        <w:r w:rsidR="00BF1301">
          <w:rPr>
            <w:noProof/>
            <w:webHidden/>
          </w:rPr>
          <w:fldChar w:fldCharType="begin"/>
        </w:r>
        <w:r w:rsidR="00BF1301">
          <w:rPr>
            <w:noProof/>
            <w:webHidden/>
          </w:rPr>
          <w:instrText xml:space="preserve"> PAGEREF _Toc235079875 \h </w:instrText>
        </w:r>
        <w:r w:rsidR="00BF1301">
          <w:rPr>
            <w:noProof/>
            <w:webHidden/>
          </w:rPr>
        </w:r>
        <w:r w:rsidR="00BF1301">
          <w:rPr>
            <w:noProof/>
            <w:webHidden/>
          </w:rPr>
          <w:fldChar w:fldCharType="separate"/>
        </w:r>
        <w:r w:rsidR="00D60E21">
          <w:rPr>
            <w:noProof/>
            <w:webHidden/>
          </w:rPr>
          <w:t>542</w:t>
        </w:r>
        <w:r w:rsidR="00BF1301">
          <w:rPr>
            <w:noProof/>
            <w:webHidden/>
          </w:rPr>
          <w:fldChar w:fldCharType="end"/>
        </w:r>
      </w:hyperlink>
    </w:p>
    <w:p w14:paraId="734AE8A0" w14:textId="78D598AC" w:rsidR="00BF1301" w:rsidRDefault="00B14886">
      <w:pPr>
        <w:pStyle w:val="Spistreci3"/>
        <w:tabs>
          <w:tab w:val="right" w:leader="dot" w:pos="9396"/>
        </w:tabs>
        <w:rPr>
          <w:rFonts w:eastAsiaTheme="minorEastAsia" w:cstheme="minorBidi"/>
          <w:noProof/>
          <w:sz w:val="22"/>
          <w:szCs w:val="22"/>
        </w:rPr>
      </w:pPr>
      <w:hyperlink w:anchor="_Toc235079876" w:history="1">
        <w:r w:rsidR="00BF1301" w:rsidRPr="004E5027">
          <w:rPr>
            <w:rStyle w:val="Hipercze"/>
            <w:rFonts w:ascii="Calibri" w:hAnsi="Calibri"/>
            <w:noProof/>
          </w:rPr>
          <w:t>Działanie FESL.16.03 Wzmocnienie regionalnej infrastruktury medycznej</w:t>
        </w:r>
        <w:r w:rsidR="00BF1301">
          <w:rPr>
            <w:noProof/>
            <w:webHidden/>
          </w:rPr>
          <w:tab/>
        </w:r>
        <w:r w:rsidR="00BF1301">
          <w:rPr>
            <w:noProof/>
            <w:webHidden/>
          </w:rPr>
          <w:fldChar w:fldCharType="begin"/>
        </w:r>
        <w:r w:rsidR="00BF1301">
          <w:rPr>
            <w:noProof/>
            <w:webHidden/>
          </w:rPr>
          <w:instrText xml:space="preserve"> PAGEREF _Toc235079876 \h </w:instrText>
        </w:r>
        <w:r w:rsidR="00BF1301">
          <w:rPr>
            <w:noProof/>
            <w:webHidden/>
          </w:rPr>
        </w:r>
        <w:r w:rsidR="00BF1301">
          <w:rPr>
            <w:noProof/>
            <w:webHidden/>
          </w:rPr>
          <w:fldChar w:fldCharType="separate"/>
        </w:r>
        <w:r w:rsidR="00D60E21">
          <w:rPr>
            <w:noProof/>
            <w:webHidden/>
          </w:rPr>
          <w:t>546</w:t>
        </w:r>
        <w:r w:rsidR="00BF1301">
          <w:rPr>
            <w:noProof/>
            <w:webHidden/>
          </w:rPr>
          <w:fldChar w:fldCharType="end"/>
        </w:r>
      </w:hyperlink>
    </w:p>
    <w:p w14:paraId="1BCB3DD6" w14:textId="332B90A6" w:rsidR="00BF1301" w:rsidRDefault="00B14886">
      <w:pPr>
        <w:pStyle w:val="Spistreci3"/>
        <w:tabs>
          <w:tab w:val="right" w:leader="dot" w:pos="9396"/>
        </w:tabs>
        <w:rPr>
          <w:rFonts w:eastAsiaTheme="minorEastAsia" w:cstheme="minorBidi"/>
          <w:noProof/>
          <w:sz w:val="22"/>
          <w:szCs w:val="22"/>
        </w:rPr>
      </w:pPr>
      <w:hyperlink w:anchor="_Toc235079877" w:history="1">
        <w:r w:rsidR="00BF1301" w:rsidRPr="004E5027">
          <w:rPr>
            <w:rStyle w:val="Hipercze"/>
            <w:rFonts w:ascii="Calibri" w:hAnsi="Calibri"/>
            <w:noProof/>
          </w:rPr>
          <w:t>Działanie FESL.16.04 Wzmocnienie bezpieczeństwa infrastruktury lotniskowej</w:t>
        </w:r>
        <w:r w:rsidR="00BF1301">
          <w:rPr>
            <w:noProof/>
            <w:webHidden/>
          </w:rPr>
          <w:tab/>
        </w:r>
        <w:r w:rsidR="00BF1301">
          <w:rPr>
            <w:noProof/>
            <w:webHidden/>
          </w:rPr>
          <w:fldChar w:fldCharType="begin"/>
        </w:r>
        <w:r w:rsidR="00BF1301">
          <w:rPr>
            <w:noProof/>
            <w:webHidden/>
          </w:rPr>
          <w:instrText xml:space="preserve"> PAGEREF _Toc235079877 \h </w:instrText>
        </w:r>
        <w:r w:rsidR="00BF1301">
          <w:rPr>
            <w:noProof/>
            <w:webHidden/>
          </w:rPr>
        </w:r>
        <w:r w:rsidR="00BF1301">
          <w:rPr>
            <w:noProof/>
            <w:webHidden/>
          </w:rPr>
          <w:fldChar w:fldCharType="separate"/>
        </w:r>
        <w:r w:rsidR="00D60E21">
          <w:rPr>
            <w:noProof/>
            <w:webHidden/>
          </w:rPr>
          <w:t>551</w:t>
        </w:r>
        <w:r w:rsidR="00BF1301">
          <w:rPr>
            <w:noProof/>
            <w:webHidden/>
          </w:rPr>
          <w:fldChar w:fldCharType="end"/>
        </w:r>
      </w:hyperlink>
    </w:p>
    <w:p w14:paraId="5F0FEA05" w14:textId="54B3C3F8" w:rsidR="00BF1301" w:rsidRDefault="00B14886">
      <w:pPr>
        <w:pStyle w:val="Spistreci3"/>
        <w:tabs>
          <w:tab w:val="right" w:leader="dot" w:pos="9396"/>
        </w:tabs>
        <w:rPr>
          <w:rFonts w:eastAsiaTheme="minorEastAsia" w:cstheme="minorBidi"/>
          <w:noProof/>
          <w:sz w:val="22"/>
          <w:szCs w:val="22"/>
        </w:rPr>
      </w:pPr>
      <w:hyperlink w:anchor="_Toc235079878" w:history="1">
        <w:r w:rsidR="00BF1301" w:rsidRPr="004E5027">
          <w:rPr>
            <w:rStyle w:val="Hipercze"/>
            <w:rFonts w:ascii="Calibri" w:hAnsi="Calibri"/>
            <w:noProof/>
          </w:rPr>
          <w:t>Działanie FESL.16.05 Wzmocnienie infrastruktury budynków użyteczności publicznej</w:t>
        </w:r>
        <w:r w:rsidR="00BF1301">
          <w:rPr>
            <w:noProof/>
            <w:webHidden/>
          </w:rPr>
          <w:tab/>
        </w:r>
        <w:r w:rsidR="00BF1301">
          <w:rPr>
            <w:noProof/>
            <w:webHidden/>
          </w:rPr>
          <w:fldChar w:fldCharType="begin"/>
        </w:r>
        <w:r w:rsidR="00BF1301">
          <w:rPr>
            <w:noProof/>
            <w:webHidden/>
          </w:rPr>
          <w:instrText xml:space="preserve"> PAGEREF _Toc235079878 \h </w:instrText>
        </w:r>
        <w:r w:rsidR="00BF1301">
          <w:rPr>
            <w:noProof/>
            <w:webHidden/>
          </w:rPr>
        </w:r>
        <w:r w:rsidR="00BF1301">
          <w:rPr>
            <w:noProof/>
            <w:webHidden/>
          </w:rPr>
          <w:fldChar w:fldCharType="separate"/>
        </w:r>
        <w:r w:rsidR="00D60E21">
          <w:rPr>
            <w:noProof/>
            <w:webHidden/>
          </w:rPr>
          <w:t>555</w:t>
        </w:r>
        <w:r w:rsidR="00BF1301">
          <w:rPr>
            <w:noProof/>
            <w:webHidden/>
          </w:rPr>
          <w:fldChar w:fldCharType="end"/>
        </w:r>
      </w:hyperlink>
    </w:p>
    <w:p w14:paraId="0091B343" w14:textId="21610C89" w:rsidR="00BF1301" w:rsidRDefault="00B14886">
      <w:pPr>
        <w:pStyle w:val="Spistreci3"/>
        <w:tabs>
          <w:tab w:val="right" w:leader="dot" w:pos="9396"/>
        </w:tabs>
        <w:rPr>
          <w:rFonts w:eastAsiaTheme="minorEastAsia" w:cstheme="minorBidi"/>
          <w:noProof/>
          <w:sz w:val="22"/>
          <w:szCs w:val="22"/>
        </w:rPr>
      </w:pPr>
      <w:hyperlink w:anchor="_Toc235079879" w:history="1">
        <w:r w:rsidR="00BF1301" w:rsidRPr="004E5027">
          <w:rPr>
            <w:rStyle w:val="Hipercze"/>
            <w:rFonts w:ascii="Calibri" w:hAnsi="Calibri"/>
            <w:noProof/>
          </w:rPr>
          <w:t>Działanie FESL.16.06 Wzmocnienie ochrony ludności oraz obrony cywilnej</w:t>
        </w:r>
        <w:r w:rsidR="00BF1301">
          <w:rPr>
            <w:noProof/>
            <w:webHidden/>
          </w:rPr>
          <w:tab/>
        </w:r>
        <w:r w:rsidR="00BF1301">
          <w:rPr>
            <w:noProof/>
            <w:webHidden/>
          </w:rPr>
          <w:fldChar w:fldCharType="begin"/>
        </w:r>
        <w:r w:rsidR="00BF1301">
          <w:rPr>
            <w:noProof/>
            <w:webHidden/>
          </w:rPr>
          <w:instrText xml:space="preserve"> PAGEREF _Toc235079879 \h </w:instrText>
        </w:r>
        <w:r w:rsidR="00BF1301">
          <w:rPr>
            <w:noProof/>
            <w:webHidden/>
          </w:rPr>
        </w:r>
        <w:r w:rsidR="00BF1301">
          <w:rPr>
            <w:noProof/>
            <w:webHidden/>
          </w:rPr>
          <w:fldChar w:fldCharType="separate"/>
        </w:r>
        <w:r w:rsidR="00D60E21">
          <w:rPr>
            <w:noProof/>
            <w:webHidden/>
          </w:rPr>
          <w:t>559</w:t>
        </w:r>
        <w:r w:rsidR="00BF1301">
          <w:rPr>
            <w:noProof/>
            <w:webHidden/>
          </w:rPr>
          <w:fldChar w:fldCharType="end"/>
        </w:r>
      </w:hyperlink>
    </w:p>
    <w:p w14:paraId="7096C4F6" w14:textId="388B08EC" w:rsidR="00BF1301" w:rsidRDefault="00B14886">
      <w:pPr>
        <w:pStyle w:val="Spistreci2"/>
        <w:tabs>
          <w:tab w:val="right" w:leader="dot" w:pos="9396"/>
        </w:tabs>
        <w:rPr>
          <w:rFonts w:eastAsiaTheme="minorEastAsia" w:cstheme="minorBidi"/>
          <w:noProof/>
          <w:sz w:val="22"/>
          <w:szCs w:val="22"/>
        </w:rPr>
      </w:pPr>
      <w:hyperlink w:anchor="_Toc235079880" w:history="1">
        <w:r w:rsidR="00BF1301" w:rsidRPr="004E5027">
          <w:rPr>
            <w:rStyle w:val="Hipercze"/>
            <w:rFonts w:ascii="Calibri" w:hAnsi="Calibri"/>
            <w:noProof/>
          </w:rPr>
          <w:t>Priorytet FESL.17 Fundusze Europejskie na rzecz odporności społecznej</w:t>
        </w:r>
        <w:r w:rsidR="00BF1301">
          <w:rPr>
            <w:noProof/>
            <w:webHidden/>
          </w:rPr>
          <w:tab/>
        </w:r>
        <w:r w:rsidR="00BF1301">
          <w:rPr>
            <w:noProof/>
            <w:webHidden/>
          </w:rPr>
          <w:fldChar w:fldCharType="begin"/>
        </w:r>
        <w:r w:rsidR="00BF1301">
          <w:rPr>
            <w:noProof/>
            <w:webHidden/>
          </w:rPr>
          <w:instrText xml:space="preserve"> PAGEREF _Toc235079880 \h </w:instrText>
        </w:r>
        <w:r w:rsidR="00BF1301">
          <w:rPr>
            <w:noProof/>
            <w:webHidden/>
          </w:rPr>
        </w:r>
        <w:r w:rsidR="00BF1301">
          <w:rPr>
            <w:noProof/>
            <w:webHidden/>
          </w:rPr>
          <w:fldChar w:fldCharType="separate"/>
        </w:r>
        <w:r w:rsidR="00D60E21">
          <w:rPr>
            <w:noProof/>
            <w:webHidden/>
          </w:rPr>
          <w:t>566</w:t>
        </w:r>
        <w:r w:rsidR="00BF1301">
          <w:rPr>
            <w:noProof/>
            <w:webHidden/>
          </w:rPr>
          <w:fldChar w:fldCharType="end"/>
        </w:r>
      </w:hyperlink>
    </w:p>
    <w:p w14:paraId="630F1757" w14:textId="276BEA5C" w:rsidR="00BF1301" w:rsidRDefault="00B14886">
      <w:pPr>
        <w:pStyle w:val="Spistreci3"/>
        <w:tabs>
          <w:tab w:val="right" w:leader="dot" w:pos="9396"/>
        </w:tabs>
        <w:rPr>
          <w:rFonts w:eastAsiaTheme="minorEastAsia" w:cstheme="minorBidi"/>
          <w:noProof/>
          <w:sz w:val="22"/>
          <w:szCs w:val="22"/>
        </w:rPr>
      </w:pPr>
      <w:hyperlink w:anchor="_Toc235079881" w:history="1">
        <w:r w:rsidR="00BF1301" w:rsidRPr="004E5027">
          <w:rPr>
            <w:rStyle w:val="Hipercze"/>
            <w:rFonts w:ascii="Calibri" w:hAnsi="Calibri"/>
            <w:noProof/>
          </w:rPr>
          <w:t>Działanie FESL.17.01 Strategiczne projekty w obszarze odporności społecznej</w:t>
        </w:r>
        <w:r w:rsidR="00BF1301">
          <w:rPr>
            <w:noProof/>
            <w:webHidden/>
          </w:rPr>
          <w:tab/>
        </w:r>
        <w:r w:rsidR="00BF1301">
          <w:rPr>
            <w:noProof/>
            <w:webHidden/>
          </w:rPr>
          <w:fldChar w:fldCharType="begin"/>
        </w:r>
        <w:r w:rsidR="00BF1301">
          <w:rPr>
            <w:noProof/>
            <w:webHidden/>
          </w:rPr>
          <w:instrText xml:space="preserve"> PAGEREF _Toc235079881 \h </w:instrText>
        </w:r>
        <w:r w:rsidR="00BF1301">
          <w:rPr>
            <w:noProof/>
            <w:webHidden/>
          </w:rPr>
        </w:r>
        <w:r w:rsidR="00BF1301">
          <w:rPr>
            <w:noProof/>
            <w:webHidden/>
          </w:rPr>
          <w:fldChar w:fldCharType="separate"/>
        </w:r>
        <w:r w:rsidR="00D60E21">
          <w:rPr>
            <w:noProof/>
            <w:webHidden/>
          </w:rPr>
          <w:t>566</w:t>
        </w:r>
        <w:r w:rsidR="00BF1301">
          <w:rPr>
            <w:noProof/>
            <w:webHidden/>
          </w:rPr>
          <w:fldChar w:fldCharType="end"/>
        </w:r>
      </w:hyperlink>
    </w:p>
    <w:p w14:paraId="54FF414A" w14:textId="19429D41" w:rsidR="00BF1301" w:rsidRDefault="00B14886">
      <w:pPr>
        <w:pStyle w:val="Spistreci3"/>
        <w:tabs>
          <w:tab w:val="right" w:leader="dot" w:pos="9396"/>
        </w:tabs>
        <w:rPr>
          <w:rFonts w:eastAsiaTheme="minorEastAsia" w:cstheme="minorBidi"/>
          <w:noProof/>
          <w:sz w:val="22"/>
          <w:szCs w:val="22"/>
        </w:rPr>
      </w:pPr>
      <w:hyperlink w:anchor="_Toc235079882" w:history="1">
        <w:r w:rsidR="00BF1301" w:rsidRPr="004E5027">
          <w:rPr>
            <w:rStyle w:val="Hipercze"/>
            <w:rFonts w:ascii="Calibri" w:hAnsi="Calibri"/>
            <w:noProof/>
          </w:rPr>
          <w:t>Działanie FESL.17.02 Budowanie odporności społecznej w regionie</w:t>
        </w:r>
        <w:r w:rsidR="00BF1301">
          <w:rPr>
            <w:noProof/>
            <w:webHidden/>
          </w:rPr>
          <w:tab/>
        </w:r>
        <w:r w:rsidR="00BF1301">
          <w:rPr>
            <w:noProof/>
            <w:webHidden/>
          </w:rPr>
          <w:fldChar w:fldCharType="begin"/>
        </w:r>
        <w:r w:rsidR="00BF1301">
          <w:rPr>
            <w:noProof/>
            <w:webHidden/>
          </w:rPr>
          <w:instrText xml:space="preserve"> PAGEREF _Toc235079882 \h </w:instrText>
        </w:r>
        <w:r w:rsidR="00BF1301">
          <w:rPr>
            <w:noProof/>
            <w:webHidden/>
          </w:rPr>
        </w:r>
        <w:r w:rsidR="00BF1301">
          <w:rPr>
            <w:noProof/>
            <w:webHidden/>
          </w:rPr>
          <w:fldChar w:fldCharType="separate"/>
        </w:r>
        <w:r w:rsidR="00D60E21">
          <w:rPr>
            <w:noProof/>
            <w:webHidden/>
          </w:rPr>
          <w:t>570</w:t>
        </w:r>
        <w:r w:rsidR="00BF1301">
          <w:rPr>
            <w:noProof/>
            <w:webHidden/>
          </w:rPr>
          <w:fldChar w:fldCharType="end"/>
        </w:r>
      </w:hyperlink>
    </w:p>
    <w:p w14:paraId="5F78A82C" w14:textId="6D89D225" w:rsidR="00BF1301" w:rsidRDefault="00B14886">
      <w:pPr>
        <w:pStyle w:val="Spistreci3"/>
        <w:tabs>
          <w:tab w:val="right" w:leader="dot" w:pos="9396"/>
        </w:tabs>
        <w:rPr>
          <w:rFonts w:eastAsiaTheme="minorEastAsia" w:cstheme="minorBidi"/>
          <w:noProof/>
          <w:sz w:val="22"/>
          <w:szCs w:val="22"/>
        </w:rPr>
      </w:pPr>
      <w:hyperlink w:anchor="_Toc235079883" w:history="1">
        <w:r w:rsidR="00BF1301" w:rsidRPr="004E5027">
          <w:rPr>
            <w:rStyle w:val="Hipercze"/>
            <w:rFonts w:ascii="Calibri" w:hAnsi="Calibri"/>
            <w:noProof/>
          </w:rPr>
          <w:t>Działanie FESL.17.03 Szkolenia podwójnego zastosowania (SPZ)</w:t>
        </w:r>
        <w:r w:rsidR="00BF1301">
          <w:rPr>
            <w:noProof/>
            <w:webHidden/>
          </w:rPr>
          <w:tab/>
        </w:r>
        <w:r w:rsidR="00BF1301">
          <w:rPr>
            <w:noProof/>
            <w:webHidden/>
          </w:rPr>
          <w:fldChar w:fldCharType="begin"/>
        </w:r>
        <w:r w:rsidR="00BF1301">
          <w:rPr>
            <w:noProof/>
            <w:webHidden/>
          </w:rPr>
          <w:instrText xml:space="preserve"> PAGEREF _Toc235079883 \h </w:instrText>
        </w:r>
        <w:r w:rsidR="00BF1301">
          <w:rPr>
            <w:noProof/>
            <w:webHidden/>
          </w:rPr>
        </w:r>
        <w:r w:rsidR="00BF1301">
          <w:rPr>
            <w:noProof/>
            <w:webHidden/>
          </w:rPr>
          <w:fldChar w:fldCharType="separate"/>
        </w:r>
        <w:r w:rsidR="00D60E21">
          <w:rPr>
            <w:noProof/>
            <w:webHidden/>
          </w:rPr>
          <w:t>574</w:t>
        </w:r>
        <w:r w:rsidR="00BF1301">
          <w:rPr>
            <w:noProof/>
            <w:webHidden/>
          </w:rPr>
          <w:fldChar w:fldCharType="end"/>
        </w:r>
      </w:hyperlink>
    </w:p>
    <w:p w14:paraId="32D8763A" w14:textId="1F6AFC36" w:rsidR="00BF1301" w:rsidRDefault="00B14886">
      <w:pPr>
        <w:pStyle w:val="Spistreci3"/>
        <w:tabs>
          <w:tab w:val="right" w:leader="dot" w:pos="9396"/>
        </w:tabs>
        <w:rPr>
          <w:rFonts w:eastAsiaTheme="minorEastAsia" w:cstheme="minorBidi"/>
          <w:noProof/>
          <w:sz w:val="22"/>
          <w:szCs w:val="22"/>
        </w:rPr>
      </w:pPr>
      <w:hyperlink w:anchor="_Toc235079884" w:history="1">
        <w:r w:rsidR="00BF1301" w:rsidRPr="004E5027">
          <w:rPr>
            <w:rStyle w:val="Hipercze"/>
            <w:rFonts w:ascii="Calibri" w:hAnsi="Calibri"/>
            <w:noProof/>
          </w:rPr>
          <w:t>Działanie FESL.17.04 Subregiony odporne społecznie (SOS)</w:t>
        </w:r>
        <w:r w:rsidR="00BF1301">
          <w:rPr>
            <w:noProof/>
            <w:webHidden/>
          </w:rPr>
          <w:tab/>
        </w:r>
        <w:r w:rsidR="00BF1301">
          <w:rPr>
            <w:noProof/>
            <w:webHidden/>
          </w:rPr>
          <w:fldChar w:fldCharType="begin"/>
        </w:r>
        <w:r w:rsidR="00BF1301">
          <w:rPr>
            <w:noProof/>
            <w:webHidden/>
          </w:rPr>
          <w:instrText xml:space="preserve"> PAGEREF _Toc235079884 \h </w:instrText>
        </w:r>
        <w:r w:rsidR="00BF1301">
          <w:rPr>
            <w:noProof/>
            <w:webHidden/>
          </w:rPr>
        </w:r>
        <w:r w:rsidR="00BF1301">
          <w:rPr>
            <w:noProof/>
            <w:webHidden/>
          </w:rPr>
          <w:fldChar w:fldCharType="separate"/>
        </w:r>
        <w:r w:rsidR="00D60E21">
          <w:rPr>
            <w:noProof/>
            <w:webHidden/>
          </w:rPr>
          <w:t>578</w:t>
        </w:r>
        <w:r w:rsidR="00BF1301">
          <w:rPr>
            <w:noProof/>
            <w:webHidden/>
          </w:rPr>
          <w:fldChar w:fldCharType="end"/>
        </w:r>
      </w:hyperlink>
    </w:p>
    <w:p w14:paraId="353C6B88" w14:textId="33252162" w:rsidR="00BF1301" w:rsidRDefault="00B14886">
      <w:pPr>
        <w:pStyle w:val="Spistreci3"/>
        <w:tabs>
          <w:tab w:val="right" w:leader="dot" w:pos="9396"/>
        </w:tabs>
        <w:rPr>
          <w:rFonts w:eastAsiaTheme="minorEastAsia" w:cstheme="minorBidi"/>
          <w:noProof/>
          <w:sz w:val="22"/>
          <w:szCs w:val="22"/>
        </w:rPr>
      </w:pPr>
      <w:hyperlink w:anchor="_Toc235079885" w:history="1">
        <w:r w:rsidR="00BF1301" w:rsidRPr="004E5027">
          <w:rPr>
            <w:rStyle w:val="Hipercze"/>
            <w:rFonts w:ascii="Calibri" w:hAnsi="Calibri"/>
            <w:noProof/>
          </w:rPr>
          <w:t>Działanie FESL.17.05 Budowanie odpornego szkolnictwa wyższego</w:t>
        </w:r>
        <w:r w:rsidR="00BF1301">
          <w:rPr>
            <w:noProof/>
            <w:webHidden/>
          </w:rPr>
          <w:tab/>
        </w:r>
        <w:r w:rsidR="00BF1301">
          <w:rPr>
            <w:noProof/>
            <w:webHidden/>
          </w:rPr>
          <w:fldChar w:fldCharType="begin"/>
        </w:r>
        <w:r w:rsidR="00BF1301">
          <w:rPr>
            <w:noProof/>
            <w:webHidden/>
          </w:rPr>
          <w:instrText xml:space="preserve"> PAGEREF _Toc235079885 \h </w:instrText>
        </w:r>
        <w:r w:rsidR="00BF1301">
          <w:rPr>
            <w:noProof/>
            <w:webHidden/>
          </w:rPr>
        </w:r>
        <w:r w:rsidR="00BF1301">
          <w:rPr>
            <w:noProof/>
            <w:webHidden/>
          </w:rPr>
          <w:fldChar w:fldCharType="separate"/>
        </w:r>
        <w:r w:rsidR="00D60E21">
          <w:rPr>
            <w:noProof/>
            <w:webHidden/>
          </w:rPr>
          <w:t>582</w:t>
        </w:r>
        <w:r w:rsidR="00BF1301">
          <w:rPr>
            <w:noProof/>
            <w:webHidden/>
          </w:rPr>
          <w:fldChar w:fldCharType="end"/>
        </w:r>
      </w:hyperlink>
    </w:p>
    <w:p w14:paraId="02C5073D" w14:textId="62F3819C" w:rsidR="00123F73" w:rsidRDefault="00993F60">
      <w:pPr>
        <w:rPr>
          <w:b/>
          <w:i/>
          <w:sz w:val="28"/>
        </w:rPr>
      </w:pPr>
      <w:r>
        <w:fldChar w:fldCharType="end"/>
      </w:r>
      <w:r>
        <w:br/>
      </w:r>
      <w:r>
        <w:rPr>
          <w:sz w:val="28"/>
        </w:rPr>
        <w:t>II Załączniki</w:t>
      </w:r>
    </w:p>
    <w:p w14:paraId="02C5073E" w14:textId="77777777" w:rsidR="00123F73" w:rsidRDefault="00993F60">
      <w:pPr>
        <w:rPr>
          <w:sz w:val="28"/>
        </w:rPr>
      </w:pPr>
      <w:r>
        <w:rPr>
          <w:sz w:val="28"/>
        </w:rPr>
        <w:t>Indykatywna tabela finansowa</w:t>
      </w:r>
    </w:p>
    <w:p w14:paraId="02C5073F" w14:textId="77777777" w:rsidR="00123F73" w:rsidRDefault="00993F60">
      <w:pPr>
        <w:rPr>
          <w:sz w:val="28"/>
        </w:rPr>
      </w:pPr>
      <w:r>
        <w:rPr>
          <w:sz w:val="28"/>
        </w:rPr>
        <w:t>Indykatywna tabela finansowa w podziale na cele polityki, cele szczegółowe i zakres interwencji</w:t>
      </w:r>
    </w:p>
    <w:p w14:paraId="02C50740" w14:textId="77777777" w:rsidR="00123F73" w:rsidRDefault="00123F73">
      <w:pPr>
        <w:rPr>
          <w:sz w:val="28"/>
          <w:highlight w:val="magenta"/>
        </w:rPr>
      </w:pPr>
    </w:p>
    <w:p w14:paraId="02C50741" w14:textId="77777777" w:rsidR="00123F73" w:rsidRDefault="00993F60">
      <w:pPr>
        <w:rPr>
          <w:b/>
          <w:i/>
          <w:sz w:val="44"/>
          <w:highlight w:val="magenta"/>
        </w:rPr>
      </w:pPr>
      <w:r>
        <w:br w:type="page"/>
      </w:r>
    </w:p>
    <w:p w14:paraId="02C50742" w14:textId="77777777" w:rsidR="00123F73" w:rsidRDefault="00993F60">
      <w:pPr>
        <w:pStyle w:val="Nagwek1"/>
        <w:rPr>
          <w:rFonts w:ascii="Calibri" w:hAnsi="Calibri" w:cs="Calibri"/>
        </w:rPr>
      </w:pPr>
      <w:bookmarkStart w:id="0" w:name="_Toc76643858"/>
      <w:bookmarkStart w:id="1" w:name="_Toc235079739"/>
      <w:r>
        <w:rPr>
          <w:rFonts w:ascii="Calibri" w:hAnsi="Calibri" w:cs="Calibri"/>
        </w:rPr>
        <w:lastRenderedPageBreak/>
        <w:t>I Informacje na temat Priorytetów i Działań</w:t>
      </w:r>
      <w:bookmarkEnd w:id="0"/>
      <w:bookmarkEnd w:id="1"/>
    </w:p>
    <w:p w14:paraId="02C50743" w14:textId="77777777" w:rsidR="00123F73" w:rsidRDefault="00123F73">
      <w:pPr>
        <w:rPr>
          <w:rFonts w:ascii="Calibri" w:hAnsi="Calibri"/>
        </w:rPr>
      </w:pPr>
    </w:p>
    <w:p w14:paraId="02C50744" w14:textId="77777777" w:rsidR="00123F73" w:rsidRDefault="00123F73">
      <w:pPr>
        <w:rPr>
          <w:rFonts w:ascii="Calibri" w:hAnsi="Calibri"/>
        </w:rPr>
      </w:pPr>
    </w:p>
    <w:p w14:paraId="02C507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b/>
          <w:i/>
          <w:sz w:val="28"/>
          <w:highlight w:val="magenta"/>
        </w:rPr>
      </w:pPr>
      <w:r>
        <w:rPr>
          <w:b/>
          <w:sz w:val="28"/>
        </w:rPr>
        <w:t>Kod i nazwa priorytetu</w:t>
      </w:r>
    </w:p>
    <w:p w14:paraId="02C50746"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2" w:name="_Toc235079740"/>
      <w:r>
        <w:rPr>
          <w:rFonts w:ascii="Calibri" w:hAnsi="Calibri" w:cs="Calibri"/>
          <w:i w:val="0"/>
          <w:sz w:val="32"/>
        </w:rPr>
        <w:t>Priorytet FESL.01 Fundusze Europejskie na inteligentny rozwój</w:t>
      </w:r>
      <w:bookmarkEnd w:id="2"/>
    </w:p>
    <w:p w14:paraId="02C507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07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07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07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02C507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07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CP1 - Bardziej konkurencyjna i inteligentna Europa dzięki wspieraniu innowacyjnej i inteligentnej transformacji gospodarczej oraz regionalnej łączności cyfrowej</w:t>
      </w:r>
    </w:p>
    <w:p w14:paraId="02C507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07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07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07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324 770 667,00</w:t>
      </w:r>
    </w:p>
    <w:p w14:paraId="02C507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07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307 293 875,00</w:t>
      </w:r>
    </w:p>
    <w:p w14:paraId="02C507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07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7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07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07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07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7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75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 w:name="_Toc235079741"/>
      <w:r>
        <w:rPr>
          <w:rFonts w:ascii="Calibri" w:hAnsi="Calibri" w:cs="Calibri"/>
          <w:sz w:val="32"/>
        </w:rPr>
        <w:t>Działanie FESL.01.01 B+R - organizacje badawcze</w:t>
      </w:r>
      <w:bookmarkEnd w:id="3"/>
    </w:p>
    <w:p w14:paraId="02C507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7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EFRR.CP1.I - Rozwijanie i wzmacnianie zdolności badawczych i innowacyjnych oraz wykorzystywanie zaawansowanych technologii</w:t>
      </w:r>
    </w:p>
    <w:p w14:paraId="02C507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7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49 689 888,00</w:t>
      </w:r>
    </w:p>
    <w:p w14:paraId="02C507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7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49 689 888,00</w:t>
      </w:r>
    </w:p>
    <w:p w14:paraId="02C507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7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004 - Inwestycje w środki trwałe, w tym infrastrukturę badawczą, w publicznych organizacjach badawczych i instytucjach szkolnictwa wyższego bezpośrednio związane z działaniami badawczymi i innowacyjnymi, 172 - Finansowanie krzyżowe w ramach EFRR (wsparcie dla działań typowych dla EFS+ koniecznych do wdrożenia części operacji objętej EFRR i bezpośrednio z nią związanych)</w:t>
      </w:r>
    </w:p>
    <w:p w14:paraId="02C507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764" w14:textId="5157D70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wsparcie zostanie przeznaczone na budowę nowej oraz modernizację istniejącej/dostosowanie infrastruktury badawczej wraz z zakupem i montażem aparatury i urządzeń laboratoryjnych w organizacjach badawczych. Uzupełniająco, jako element każdego projektu dopuszcza się wsparcie podnoszenia kompetencji pracowników organizacji badawczych bezpośrednio związanych z infrastrukturą badawczą będącą przedmiotem projektu. </w:t>
      </w:r>
      <w:r>
        <w:br/>
        <w:t>Wsparta infrastruktura badawcza wykorzystywana będzie, w szczególności w działalności gospodarczej. Dofinansowane projekty przyczynią się do podnoszenia innowacyjności regionu poprzez poprawę jakości infrastruktury badawczej w organizacjach badawczych. Wsparciem objęte zostaną inwestycje niezbędne do realizacji agend badawczych obejmujących Regionalne Inteligentne Specjalizacje oraz obszary badawcze zidentyfikowane w ramach Procesu Przedsiębiorczego Odkrywania prowadzonego w województwie śląskim.</w:t>
      </w:r>
      <w:r>
        <w:br/>
        <w:t>Infrastruktura badawcza może służyć do prowadzenia zarówno działalności gospodarczej, jak i niegospodarczej. W przypadku, gdy infrastrukturę wykorzystuje się do prowadzenia zarówno działalności gospodarczej, jak i niegospodarczej, finansowanie ze środków publicznych kosztów związanych z działalnością niegospodarczą tej infrastruktury nie stanowi pomocy państwa. Zasadami pomocy państwa objęte są tylko te środki publiczne, które powiązane są z działalnością gospodarczą. Wsparte przedsięwzięcia przyczynią się do wzrostu współpracy organizacji badawczych z przedsiębiorstwami.</w:t>
      </w:r>
      <w:r>
        <w:br/>
        <w:t>Obligatoryjne warunki wsparcia:</w:t>
      </w:r>
      <w:r>
        <w:br/>
        <w:t>Projekt służy realizacji agendy badawczej, której zakres jest zgodny z regionalnymi inteligentnymi specjalizacjami, w tym obszarami badawczymi zidentyfikowanymi w ramach Procesu Przedsiębiorczego Odkrywania i został zaopiniowany przez ministra właściwego do spraw rozwoju regionalnego oraz ministra właściwego do spraw szkolnictwa wyższego i nauki na warunkach i w trybie określonym w Umowie Partnerstwa. Opiniowanie projektów prowadzone na zasadach ustalonych w Kontakcie Programowym dla Województwa Śląskiego.</w:t>
      </w:r>
      <w:r>
        <w:br/>
        <w:t xml:space="preserve">Działanie będzie realizowane z uwzględnieniem zasad horyzontalnych (zgodnie z art. 9 Rozporządzenia </w:t>
      </w:r>
      <w:r>
        <w:lastRenderedPageBreak/>
        <w:t>Parlamentu Europejskiego i Rady (UE) nr 2021/1060 z dnia 24 czerwca 2021 r.), a obowiązek ich stosowania wynika z Umowy Partnerstwa, programu oraz wytycznych.</w:t>
      </w:r>
      <w:r>
        <w:br/>
        <w:t>Preferowane warunki wsparcia:</w:t>
      </w:r>
      <w:r>
        <w:br/>
        <w:t xml:space="preserve">Preferowane będą projekty, które w największym zakresie wykorzystują infrastrukturę badawczą do prowadzenia działalności gospodarczej. </w:t>
      </w:r>
      <w:r>
        <w:br/>
        <w:t xml:space="preserve">Premiowana będzie współpraca organizacji badawczej z przedsiębiorstwami. </w:t>
      </w:r>
      <w:r>
        <w:br/>
        <w:t>Premiowane będą projekty, w których wkład własny jest w formie finansowej.</w:t>
      </w:r>
      <w:r w:rsidR="002D509E">
        <w:t xml:space="preserve"> </w:t>
      </w:r>
      <w:r>
        <w:br/>
        <w:t>Preferowane będą projekty, w których beneficjent będzie prowadził we wspartej infrastrukturze działalność badawczą z uwzględnieniem równości kobiet i mężczyzn, w szczególności zgodnie z przykładami podanymi w FE SL 2021-2027.</w:t>
      </w:r>
      <w:r w:rsidR="002D509E">
        <w:t xml:space="preserve"> </w:t>
      </w:r>
      <w:r>
        <w:br/>
        <w:t>Premiowane będą projekty, które mają istotny wkład w realizację jednego z sześciu celów środowiskowych określanych w rozporządzeniu (UE) 2020/852.</w:t>
      </w:r>
      <w:r>
        <w:br/>
        <w:t>Preferowana będzie realizacja zielonych zamówień publicznych w oparciu o opracowane przez KE wspólne kryteria możliwe do stosowania w państwach członkowskich Unii.</w:t>
      </w:r>
      <w:r>
        <w:br/>
        <w:t>Premiowane będą projekty realizujące założenia Nowego Europejskiego Bauhausu.</w:t>
      </w:r>
    </w:p>
    <w:p w14:paraId="02C507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7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7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7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7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76A" w14:textId="5E934E9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 Zasady</w:t>
      </w:r>
      <w:r w:rsidR="002D509E">
        <w:t xml:space="preserve"> </w:t>
      </w:r>
      <w:r>
        <w:t>ramowe</w:t>
      </w:r>
      <w:r w:rsidR="002D509E">
        <w:t xml:space="preserve"> </w:t>
      </w:r>
      <w:r>
        <w:t>dotyczące</w:t>
      </w:r>
      <w:r w:rsidR="002D509E">
        <w:t xml:space="preserve"> </w:t>
      </w:r>
      <w:r>
        <w:t>pomocy</w:t>
      </w:r>
      <w:r w:rsidR="002D509E">
        <w:t xml:space="preserve"> </w:t>
      </w:r>
      <w:r>
        <w:t>państwa</w:t>
      </w:r>
      <w:r w:rsidR="002D509E">
        <w:t xml:space="preserve"> </w:t>
      </w:r>
      <w:r>
        <w:t>na</w:t>
      </w:r>
      <w:r w:rsidR="002D509E">
        <w:t xml:space="preserve"> </w:t>
      </w:r>
      <w:r>
        <w:t>działalność</w:t>
      </w:r>
      <w:r w:rsidR="002D509E">
        <w:t xml:space="preserve"> </w:t>
      </w:r>
      <w:r>
        <w:t>badawczą,</w:t>
      </w:r>
      <w:r w:rsidR="002D509E">
        <w:t xml:space="preserve"> </w:t>
      </w:r>
      <w:r>
        <w:t>rozwojową i innowacyjną</w:t>
      </w:r>
    </w:p>
    <w:p w14:paraId="02C507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7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 Rozporządzenie Ministra Funduszy i Polityki Regionalnej z dnia 29 listopada 2022 r. w sprawie udzielania pomocy inwestycyjnej na infrastrukturę badawczą w ramach regionalnych programów na lata 2021–2027 (Dz.U. 2022 poz. 2498)</w:t>
      </w:r>
    </w:p>
    <w:p w14:paraId="02C507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7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7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02C507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7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7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07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7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7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7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7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7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w:t>
      </w:r>
    </w:p>
    <w:p w14:paraId="02C507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7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badawcze</w:t>
      </w:r>
    </w:p>
    <w:p w14:paraId="02C507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7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 badania_i_rozwój, infrastruktura_badawcza, RIS</w:t>
      </w:r>
    </w:p>
    <w:p w14:paraId="02C507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7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7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7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7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7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WLWK-PLRO005 - Liczba wspartych laboratoriów badawczych</w:t>
      </w:r>
    </w:p>
    <w:p w14:paraId="02C507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WLWK-RCO006 - Naukowcy pracujący we wspieranych obiektach badawczych</w:t>
      </w:r>
    </w:p>
    <w:p w14:paraId="02C507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WLWK-RCO008 - Nominalna wartość sprzętu na potrzeby badań naukowych i innowacji</w:t>
      </w:r>
    </w:p>
    <w:p w14:paraId="02C507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7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7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WLWK-RCR102 - Miejsca pracy dla naukowców utworzone we wspieranych jednostkach</w:t>
      </w:r>
    </w:p>
    <w:p w14:paraId="02C507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07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WLWK-PLRR032 - Przychód z komercjalizacji wyników B+R w organizacjach badawczych</w:t>
      </w:r>
    </w:p>
    <w:p w14:paraId="02C507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07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lastRenderedPageBreak/>
        <w:t>Kod i nazwa działania</w:t>
      </w:r>
    </w:p>
    <w:p w14:paraId="02C5078C"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 w:name="_Toc235079742"/>
      <w:r>
        <w:rPr>
          <w:rFonts w:ascii="Calibri" w:hAnsi="Calibri" w:cs="Calibri"/>
          <w:sz w:val="32"/>
        </w:rPr>
        <w:t>Działanie FESL.01.02 Badania, rozwój i innowacje w przedsiębiorstwach</w:t>
      </w:r>
      <w:bookmarkEnd w:id="4"/>
    </w:p>
    <w:p w14:paraId="02C507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7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 - Rozwijanie i wzmacnianie zdolności badawczych i innowacyjnych oraz wykorzystywanie zaawansowanych technologii</w:t>
      </w:r>
    </w:p>
    <w:p w14:paraId="02C507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07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 Centrum Przedsiębiorczości</w:t>
      </w:r>
    </w:p>
    <w:p w14:paraId="02C507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7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43 320 260,00</w:t>
      </w:r>
    </w:p>
    <w:p w14:paraId="02C507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7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43 320 260,00</w:t>
      </w:r>
    </w:p>
    <w:p w14:paraId="02C507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7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002 - Inwestycje w środki trwałe, w tym infrastrukturę badawczą, w małych i średnich przedsiębiorstwach (w tym prywatnych organizacjach badawczych) bezpośrednio związane z działaniami badawczymi i innowacyjnymi, 003 - Inwestycje w środki trwałe, w tym infrastrukturę badawczą, w dużych przedsiębiorstwach bezpośrednio związane z działaniami badawczymi i innowacyjnymi, 006 - Inwestycje w wartości niematerialne i prawne w MŚP (w tym prywatnych organizacjach badawczych) bezpośrednio związane z działaniami badawczymi i innowacyjnymi, 007 - Inwestycje w wartości niematerialne i prawne w dużych przedsiębiorstwach bezpośrednio związane z działaniami badawczymi i innowacyjnymi, 010 - Działania badawcze i innowacyjne w MŚP, w tym tworzenie sieci kontaktów, 011 - Działania badawcze i innowacyjne w dużych przedsiębiorstwach, w tym tworzenie sieci kontaktów, 024 - Zaawansowane usługi wsparcia dla MŚP i grup MŚP (w tym usługi w zakresie zarządzania, marketingu i projektowania), 172 - Finansowanie krzyżowe w ramach EFRR (wsparcie dla działań typowych dla EFS+ koniecznych do wdrożenia części operacji objętej EFRR i bezpośrednio z nią związanych)</w:t>
      </w:r>
    </w:p>
    <w:p w14:paraId="02C507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798" w14:textId="35BB922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 zostanie przeznaczone na realizację prac badawczo-rozwojowych w przedsiębiorstwach (z wyłączeniem badań podstawowych). Uzupełniająco, jako element każdego projektu B+R, możliwe jest wsparcie prac przedwdrożeniowych w przedsiębiorstwach.</w:t>
      </w:r>
      <w:r>
        <w:br/>
        <w:t xml:space="preserve">Wdrożenie wyników prac B+R będzie dopuszczalne w dwóch wariantach: </w:t>
      </w:r>
      <w:r>
        <w:br/>
        <w:t>- jako moduł w projekcie badawczo-rozwojowym lub</w:t>
      </w:r>
      <w:r>
        <w:br/>
        <w:t>- jako odrębny typ projektu.</w:t>
      </w:r>
      <w:r>
        <w:br/>
        <w:t xml:space="preserve">Wdrożenie wyników prac B+R (własnych lub nabytych) jako osobny typ projektu lub jako moduł w </w:t>
      </w:r>
      <w:r>
        <w:lastRenderedPageBreak/>
        <w:t xml:space="preserve">projekcie badawczo - rozwojowym może być wspierane tylko w formie dotacji warunkowej. Dotacja warunkowa podlega pełnemu lub częściowemu zwrotowi. </w:t>
      </w:r>
      <w:r>
        <w:br/>
        <w:t>Wsparcie zostanie skierowane do mikro, małych, średnich i dużych przedsiębiorstw na zasadniczą zmianę procesu produkcji, dywersyfikację działalności i utworzenie nowego zakładu w rozumieniu art. 2 pkt 49 rozporządzenia GBER. Dofinansowaniu mogą podlegać inwestycje w rzeczowe aktywa trwałe, wartości niematerialne i prawne oraz szkolenia.</w:t>
      </w:r>
      <w:r>
        <w:br/>
        <w:t>Okres trwałości dla podmiotów wnioskujących o dofinansowanie w ramach dotacji warunkowej wynosi 3 lata dla MŚP i 5 lat dla dużych przedsiębiorstw.</w:t>
      </w:r>
      <w:r>
        <w:br/>
        <w:t xml:space="preserve">W przypadku wdrożenia wyników prac B+R jako osobnego typu projektu nie przewiduje się wsparcia dla projektów partnerskich. </w:t>
      </w:r>
      <w:r>
        <w:br/>
        <w:t>Nie przewiduje się wsparcia inwestycji w sieci szerokopasmowe.</w:t>
      </w:r>
      <w:r>
        <w:br/>
      </w:r>
      <w:r>
        <w:br/>
        <w:t xml:space="preserve">W ramach interwencji umożliwia się również tworzenie lub rozwój zaplecza badawczo-rozwojowego w przedsiębiorstwach. </w:t>
      </w:r>
      <w:r>
        <w:br/>
        <w:t>Dodatkowo wnioskodawca realizując projekt B+R lub tworząc zaplecze badawczo – rozwojowe będzie mógł uzyskać wsparcie na cyfryzację procesów badawczych w firmie, podniesienia kompetencji pracowników oraz uzyskać ochronę własności intelektualnej na rezultaty będące wynikiem prac B+R, przy czym uzyskanie ochrony własności intelektualnej możliwe jest wyłącznie w połączeniu z realizacją prac badawczo-rozwojowych.</w:t>
      </w:r>
      <w:r>
        <w:br/>
        <w:t xml:space="preserve">W przypadku prac B+R projekt musi zawierać w sobie prace eksperymentalno – rozwojowe, realizacja których powinna z założenia prowadzić do wyniku dającego się skomercjalizować. Prace B+R mogą być realizowane przez samodzielne przedsiębiorstwa a także przez partnerstwa przemysłowo – naukowe. W przypadku finansowania projektu realizowanego w partnerstwie przez partnera spełniającego definicję „organizacji prowadzącej badania i upowszechniającej wiedzę” (art. 2 pkt. 83 Rozporządzenia 651/2014) w zakresie dotyczącym działalności niegospodarczej – maksymalny poziom dofinansowania może wynieść 100% (w tym przypadku finansowanie nie jest objęte zasadami pomocy państwa). W zakresie dotyczącym działalności gospodarczej intensywność udzielanej pomocy publicznej będzie zgodna z podstawą udzielania pomocy. Informacja o poziomie wsparcia będzie każdorazowo wskazywana dla danego naboru w regulaminie wyboru projektów. Partnerami mogą być podmioty spoza regionu oraz kraju. </w:t>
      </w:r>
      <w:r>
        <w:br/>
        <w:t>Projekty muszą być realizowane na terenie województwa śląskiego.</w:t>
      </w:r>
      <w:r w:rsidR="002D509E">
        <w:t xml:space="preserve"> </w:t>
      </w:r>
      <w:r>
        <w:t xml:space="preserve">Przedsiębiorstwo (w przypadku realizacji projektu w ramach partnerstwa/porozumienia - partner wiodący) musi prowadzić działalność gospodarczą na terenie województwa śląskiego – weryfikacja będzie się odbywać na podstawie wpisu do CEIDG/KRS/dokonania zgłoszenia NIP-8 na dzień podpisania umowy o dofinansowanie. W przypadku projektu dotyczącego tworzenia lub rozwoju zaplecza badawczo-rozwojowego w przedsiębiorstwach, a także wdrożenia wyników prac B+R, nabywane środki trwałe i wartości niematerialne i prawne muszą być zewidencjonowane oraz wykorzystywane na terytorium województwa śląskiego. </w:t>
      </w:r>
      <w:r>
        <w:br/>
        <w:t xml:space="preserve">Dla projektu dotyczącego realizacji prac badawczo-rozwojowych - w przypadku gdy planowane przedsięwzięcie lub jego część będzie realizowana poza terytorium województwa śląskiego, za miejsce realizacji projektu uznaje się zakład lub oddział Wnioskodawcy/Partnera wiodącego, który musi znajdować się w województwie śląskim. </w:t>
      </w:r>
      <w:r>
        <w:br/>
        <w:t xml:space="preserve">Wsparcie w ramach niniejszego działania skoncentrowane jest w szczególności na MŚP. Przewidziane są </w:t>
      </w:r>
      <w:r>
        <w:lastRenderedPageBreak/>
        <w:t xml:space="preserve">również inwestycje dużych przedsiębiorstw. W przypadku dużych przedsiębiorstw realizujących prace B+R, warunkiem udzielenia wsparcia jest zapewnienie konkretnych efektów dyfuzji działalności B+R do polskiej gospodarki. W takim przypadku głównym celem wsparcia dużych przedsiębiorstw powinno być podjęcie współpracy z MŚP w zakresie rozwijania i wzmacniania zdolności badawczych i innowacyjnych oraz wykorzystywania zaawansowanych technologii, a także przedstawienie korzyści dla partnerów oraz innych przedsiębiorstw MŚP z regionu. </w:t>
      </w:r>
      <w:r>
        <w:br/>
        <w:t>Beneficjent aplikując o wsparcie zobowiązany jest do zastosowania zasady:</w:t>
      </w:r>
      <w:r>
        <w:br/>
        <w:t>- n+1 w projektach, w ramach których następuje tworzenie lub rozwój zaplecza badawczo-rozwojowego lub wdrożenie wyników prac B+R,</w:t>
      </w:r>
      <w:r>
        <w:br/>
        <w:t>- n+2 w projektach dotyczących realizacji prac badawczo-rozwojowych,</w:t>
      </w:r>
      <w:r>
        <w:br/>
        <w:t>- n+3 w projektach dotyczących realizacji prac badawczo-rozwojowych wraz z wdrożeniem ich wyników.</w:t>
      </w:r>
      <w:r w:rsidR="002D509E">
        <w:t xml:space="preserve"> </w:t>
      </w:r>
      <w:r>
        <w:br/>
        <w:t>Oznacza to, że od chwili podpisania umowy o dofinansowanie Beneficjent powinien zrealizować projekt ujęty we wniosku o dofinansowanie:</w:t>
      </w:r>
      <w:r>
        <w:br/>
        <w:t>- w ciągu jednego roku (w projektach dot. tworzenia lub rozwoju zaplecza badawczo-rozwojowego lub wdrożenia wyników prac B+R),</w:t>
      </w:r>
      <w:r>
        <w:br/>
        <w:t>- w kolejnych dwóch latach (w projektach dot. realizacji prac badawczo-rozwojowych w przypadku realizacji wyłącznie prac B+R),</w:t>
      </w:r>
      <w:r>
        <w:br/>
        <w:t>- w kolejnych trzech latach (w projektach dot. realizacji prac badawczo-rozwojowych wraz z wdrożeniem ich wyników).</w:t>
      </w:r>
      <w:r>
        <w:br/>
        <w:t>W szczególnych przypadkach Instytucja Pośrednicząca może wyrazić zgodę na wydłużenie terminów dotyczących zasady</w:t>
      </w:r>
      <w:r w:rsidR="002D509E">
        <w:t xml:space="preserve"> </w:t>
      </w:r>
      <w:r>
        <w:t>n+1, n+2 oraz n+3 z uwzględnieniem możliwego maksymalnego terminu ponoszenia wydatków kwalifikowanych.</w:t>
      </w:r>
      <w:r>
        <w:br/>
        <w:t>Projekty realizowane w ramach powyższego celu szczegółowego muszą być zgodne z obszarami istniejących Regionalnych Inteligentnych Specjalizacji Województwa Śląskiego oraz zaktualizowanych w Procesie Przedsiębiorczego Odkrywania.</w:t>
      </w:r>
      <w:r>
        <w:br/>
        <w:t>Przerwanie realizacji projektu badawczego oraz rezygnacja z komercjalizacji poprzez wdrożenie wyników prac B+R, nie będzie skutkować zwrotem środków wyłącznie w przypadku, gdy w trakcie realizacji prac B+R lub po ich zakończeniu beneficjent wykaże, że wdrożenie nie jest możliwe ze względów technicznych i/lub ze względu na brak lub nikłą wartość merytoryczną wyników dotychczas przeprowadzonych prac B+R bądź też nie jest uzasadnione ze względów ekonomicznych.</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07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7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7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7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7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02C507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7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7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12 lipca 2023 r. w sprawie udzielania pomocy na wspieranie innowacyjności oraz na innowacje procesowe i organizacyjne w ramach regionalnych programów na lata 2021–2027 (Dz.U. 2023 poz. 1487), Rozporządzenie Ministra Funduszy i Polityki Regionalnej z dnia 17 kwietnia 2024 r. w sprawie udzielania pomocy de minimis w ramach regionalnych programów na lata 2021–2027 (Dz.U. 2024 poz. 598), Rozporządzenie Ministra Funduszy i Polityki Regionalnej z dnia 28 lipca 2023 r. w sprawie udzielania pomocy szkoleniowej w zakresie celu polityki CP1 oraz celu szczegółowego Funduszu na rzecz Sprawiedliwej Transformacji w ramach regionalnych programów na lata 2021–2027 (Dz.U. 2023 poz. 1649), Rozporządzenie Ministra Funduszy i Polityki Regionalnej z dnia 29 listopada 2022 r. w sprawie udzielania pomocy na badania przemysłowe, eksperymentalne prace rozwojowe oraz studia wykonalności w ramach regionalnych programów na lata 2021–2027 (Dz.U. 2022 poz. 2573)</w:t>
      </w:r>
    </w:p>
    <w:p w14:paraId="02C507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7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15% stawka ryczałtowa na koszty pośrednie (podstawa wyliczenia: koszty bezpośrednie personelu) [art. 54(b) CPR], do 7% stawka ryczałtowa na koszty pośrednie (podstawa wyliczenia: koszty bezpośrednie) [art. 54(a) CPR], stawka jednostkowa (stawka godzinowa personelu projektu) [art. 55(2-5) CPR], uproszczona metoda rozliczania wydatków w oparciu o projekt budżetu [art. 53(3)(b) CPR]</w:t>
      </w:r>
    </w:p>
    <w:p w14:paraId="02C507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7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7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7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02C507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7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7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7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7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7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Partnerstwa, Przedsiębiorstwa</w:t>
      </w:r>
    </w:p>
    <w:p w14:paraId="02C507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Typ beneficjenta – szczegółowy</w:t>
      </w:r>
    </w:p>
    <w:p w14:paraId="02C507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Konsorcja naukowo-przemysłowe, MŚP</w:t>
      </w:r>
    </w:p>
    <w:p w14:paraId="02C507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7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badania_i_rozwój, infrastruktura_badawcza, partnerstwo, prace_badawcze</w:t>
      </w:r>
    </w:p>
    <w:p w14:paraId="02C507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7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07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7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7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7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7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7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WLWK-PLRO159 - Liczba przedsiębiorstw wspartych w zakresie realizacji prac B+R </w:t>
      </w:r>
    </w:p>
    <w:p w14:paraId="02C507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WLWK-PLRO007 - Liczba realizowanych projektów B+R</w:t>
      </w:r>
    </w:p>
    <w:p w14:paraId="02C507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02C507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WLWK-PLRO005 - Liczba wspartych laboratoriów badawczych</w:t>
      </w:r>
    </w:p>
    <w:p w14:paraId="02C507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07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07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07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WLWK-RCO005 - Nowe przedsiębiorstwa objęte wsparciem</w:t>
      </w:r>
    </w:p>
    <w:p w14:paraId="02C507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02C507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WLWK-RCO010 - Przedsiębiorstwa współpracujące z organizacjami badawczymi</w:t>
      </w:r>
    </w:p>
    <w:p w14:paraId="02C507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PROG-FESLO-09 - Liczba projektów zgodnych z regionalnymi inteligentymi specjalizacjami</w:t>
      </w:r>
    </w:p>
    <w:p w14:paraId="02C507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PROG-FESLO-10 - Liczba przedsiębiorstw ponoszących nakłady inwestycyjne na działalność B+R</w:t>
      </w:r>
    </w:p>
    <w:p w14:paraId="02C507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PROG-FESLO-23 - Liczba zakupionych usług doradczych </w:t>
      </w:r>
    </w:p>
    <w:p w14:paraId="02C507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7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WLWK-PLRR077 - Liczba przedsiębiorstw korzystających ze wspartej infrastruktury badawczej</w:t>
      </w:r>
    </w:p>
    <w:p w14:paraId="02C507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WLWK-PLRR006 - Liczba wdrożonych wyników prac B+R</w:t>
      </w:r>
    </w:p>
    <w:p w14:paraId="02C507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WLWK-PLRR030 - Liczba wprowadzonych innowacji marketingowych</w:t>
      </w:r>
    </w:p>
    <w:p w14:paraId="02C507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WLWK-PLRR031 - Liczba wprowadzonych innowacji organizacyjnych</w:t>
      </w:r>
    </w:p>
    <w:p w14:paraId="02C507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WLWK-PLRR029 - Liczba wprowadzonych innowacji procesowych</w:t>
      </w:r>
    </w:p>
    <w:p w14:paraId="02C507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WLWK-PLRR028 - Liczba wprowadzonych innowacji produktowych</w:t>
      </w:r>
    </w:p>
    <w:p w14:paraId="02C507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WLWK-PLRR004 - Liczba zgłoszeń wzorów przemysłowych do Urzędu Patentowego RP</w:t>
      </w:r>
    </w:p>
    <w:p w14:paraId="02C507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WLWK-PLRR005 - Liczba zgłoszeń wzorów użytkowych do Urzędu Patentowego RP</w:t>
      </w:r>
    </w:p>
    <w:p w14:paraId="02C507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WLWK-PLRR025 - Małe i średnie przedsiębiorstwa (MŚP) wprowadzające innowacje procesowe</w:t>
      </w:r>
    </w:p>
    <w:p w14:paraId="02C507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WLWK-PLRR024 - Małe i średnie przedsiębiorstwa (MŚP) wprowadzające innowacje produktowe</w:t>
      </w:r>
    </w:p>
    <w:p w14:paraId="02C507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07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WLWK-PLRR026 - MŚP wprowadzające innowacje marketingowe</w:t>
      </w:r>
    </w:p>
    <w:p w14:paraId="02C507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WLWK-PLRR027 - MŚP wprowadzające innowacje organizacyjne</w:t>
      </w:r>
    </w:p>
    <w:p w14:paraId="02C507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07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WLWK-PLRR001 - Wartość nakładów na działalność B+R we wspartych przedsiębiorstwach </w:t>
      </w:r>
    </w:p>
    <w:p w14:paraId="02C507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WLWK-RCR007 - Wnioski w zakresie znaków towarowych oraz wzorów</w:t>
      </w:r>
    </w:p>
    <w:p w14:paraId="02C507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WLWK-RCR006 - Złożone wnioski patentowe</w:t>
      </w:r>
    </w:p>
    <w:p w14:paraId="02C507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PROG-FESLR-15 - Liczba nowych/ulepszonych produktów/usług </w:t>
      </w:r>
    </w:p>
    <w:p w14:paraId="02C507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PROG-FESLR-06 - Liczba pozytywnie zakończonych prac B+R</w:t>
      </w:r>
    </w:p>
    <w:p w14:paraId="02C507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7D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 w:name="_Toc235079743"/>
      <w:r>
        <w:rPr>
          <w:rFonts w:ascii="Calibri" w:hAnsi="Calibri" w:cs="Calibri"/>
          <w:sz w:val="32"/>
        </w:rPr>
        <w:t>Działanie FESL.01.03 Ekosystem RIS</w:t>
      </w:r>
      <w:bookmarkEnd w:id="5"/>
    </w:p>
    <w:p w14:paraId="02C507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7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 - Rozwijanie i wzmacnianie zdolności badawczych i innowacyjnych oraz wykorzystywanie zaawansowanych technologii</w:t>
      </w:r>
    </w:p>
    <w:p w14:paraId="02C507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07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07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7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3 000 000,00</w:t>
      </w:r>
    </w:p>
    <w:p w14:paraId="02C507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7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3 000 000,00</w:t>
      </w:r>
    </w:p>
    <w:p w14:paraId="02C507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7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023 - Rozwój umiejętności na rzecz inteligentnej specjalizacji, transformacji przemysłowej, przedsiębiorczości i zdolności przedsiębiorstw dostosowania się do zmian, 172 - Finansowanie krzyżowe w ramach EFRR (wsparcie dla działań typowych dla EFS+ koniecznych do wdrożenia części operacji objętej EFRR i bezpośrednio z nią związanych)</w:t>
      </w:r>
    </w:p>
    <w:p w14:paraId="02C507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lastRenderedPageBreak/>
        <w:t>Opis działania</w:t>
      </w:r>
    </w:p>
    <w:p w14:paraId="02C507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Realizacja projektów w ramach działania związana jest z wypełnianiem przez Samorząd Województwa Śląskiego zadania przypisanego ustawowo, jakim jest prowadzenie polityki rozwoju województwa, na którą składa się wspieranie rozwoju nauki i współpracy między sferą nauki i gospodarki, popieranie postępu technologicznego oraz innowacji (art. 11, ust 2, pkt 6 Ustawy o samorządzie województwa).</w:t>
      </w:r>
      <w:r>
        <w:br/>
      </w:r>
      <w:r>
        <w:br/>
        <w:t>Prace badawcze będą przeprowadzane w ramach regionalnego procesu foresight „Technologie województwa śląskiego w perspektywie do 2050” dla budowy nowej wizji innowacyjnego rozwoju technologii w regionie w perspektywie 2050. Prace badawcze obejmą też ocenę i aktualizację obszarów smart, będącą wynikiem szeregu działań związanych z realizacją polityki rozwoju protechnologicznego i innowacyjnego.</w:t>
      </w:r>
      <w:r>
        <w:br/>
      </w:r>
      <w:r>
        <w:br/>
        <w:t xml:space="preserve">Zgodnie z zaleceniami Komisji Europejskiej rozwój inteligentnych specjalizacji określonych w „Regionalnej Strategii Innowacji Województwa Śląskiego 2030” powinien być prowadzony w oparciu o Proces Przedsiębiorczego Odkrywania (Entrepreneurial Discovery Process). </w:t>
      </w:r>
      <w:r>
        <w:br/>
      </w:r>
      <w:r>
        <w:br/>
        <w:t>Model Procesu Przedsiębiorczego Odkrywania Województwa Śląskiego (PPO WSL) dostarcza istotnych informacji, z punktu widzenia kształtowania regionalnej polityki innowacyjnego rozwoju opartej na faktach/dowodach. Zgodnie z powyższym modelem, innowacyjny rozwój regionu powinien przebiegać w sposób zrównoważony, to znaczy taki, by zapewnić obecnie funkcjonującym obszarom przewagę w dalszy rozwoju i tworzenie dobrobytu, a jednocześnie stymulować i wzmacniać powstawanie nowych.</w:t>
      </w:r>
      <w:r>
        <w:br/>
        <w:t>Wsparcie obejmować będzie również funkcjonowanie oraz dalszy rozwój Sieci Regionalnych Obserwatoriów Specjalistycznych.</w:t>
      </w:r>
      <w:r>
        <w:br/>
      </w:r>
      <w:r>
        <w:br/>
        <w:t>Współpraca międzyregionalna, transgraniczna i transnarodowa w zakresie badań i rozwoju wpłynie na wzrost wiedzy i kompetencji pracowników podmiotów zaangażowanych w regionalny ekosystem innowacji oraz realizację Procesu Przedsiębiorczego Odkrywania.</w:t>
      </w:r>
      <w:r>
        <w:br/>
      </w:r>
      <w:r>
        <w:br/>
        <w:t xml:space="preserve">Przedsięwzięcie planowane do realizacji w ramach Działania jest ujęte w załączniku do Kontraktu Programowego dla Województwa Śląskiego. </w:t>
      </w:r>
      <w:r>
        <w:br/>
      </w:r>
      <w:r>
        <w:br/>
        <w:t>Projekt będzie realizowany przez Samorząd Województwa w partnerstwie z:</w:t>
      </w:r>
      <w:r>
        <w:br/>
      </w:r>
      <w:r>
        <w:br/>
        <w:t>• Instytucjami otoczenia biznesu;</w:t>
      </w:r>
      <w:r>
        <w:br/>
        <w:t>• Jednostkami naukowymi;</w:t>
      </w:r>
      <w:r>
        <w:br/>
        <w:t>• Uczelniami oraz/lub ich spółkami celowymi;</w:t>
      </w:r>
      <w:r>
        <w:br/>
        <w:t>• Podmiotami, w których większość udziałów lub akcji posiadają jednostki samorządu terytorialnego lub ich związki i stowarzyszenia;</w:t>
      </w:r>
      <w:r>
        <w:br/>
        <w:t>• Fundacjami i stowarzyszeniami;</w:t>
      </w:r>
      <w:r>
        <w:br/>
        <w:t>• Porozumienia ww. podmiotów.</w:t>
      </w:r>
      <w:r>
        <w:br/>
      </w:r>
      <w:r>
        <w:lastRenderedPageBreak/>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07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7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07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7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07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7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7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7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7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7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 stawka jednostkowa (stawka godzinowa personelu projektu) [art. 55(2-5) CPR]</w:t>
      </w:r>
    </w:p>
    <w:p w14:paraId="02C507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7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7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7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02C507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7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07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7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7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7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Partnerstwa</w:t>
      </w:r>
    </w:p>
    <w:p w14:paraId="02C507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7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ekosystem, RIS</w:t>
      </w:r>
    </w:p>
    <w:p w14:paraId="02C507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7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https://funduszeue.slaskie.pl/web/guest/kryteria-wyboru</w:t>
      </w:r>
    </w:p>
    <w:p w14:paraId="02C507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8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WLWK-PLRO209 - Udział podmiotów instytucjonalnych w procesie przedsiębiorczego odkrywania</w:t>
      </w:r>
    </w:p>
    <w:p w14:paraId="02C508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8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08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80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 w:name="_Toc235079744"/>
      <w:r>
        <w:rPr>
          <w:rFonts w:ascii="Calibri" w:hAnsi="Calibri" w:cs="Calibri"/>
          <w:sz w:val="32"/>
        </w:rPr>
        <w:t>Działanie FESL.01.04 Cyfryzacja administracji publicznej</w:t>
      </w:r>
      <w:bookmarkEnd w:id="6"/>
    </w:p>
    <w:p w14:paraId="02C508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8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 - Czerpanie korzyści z cyfryzacji dla obywateli, przedsiębiorstw, organizacji badawczych i instytucji publicznych</w:t>
      </w:r>
    </w:p>
    <w:p w14:paraId="02C508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8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84 618 008,00</w:t>
      </w:r>
    </w:p>
    <w:p w14:paraId="02C508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8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84 618 008,00</w:t>
      </w:r>
    </w:p>
    <w:p w14:paraId="02C508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8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016 - Rozwiązania TIK, usługi elektroniczne, aplikacje dla administracji, 172 - Finansowanie krzyżowe w ramach EFRR (wsparcie dla działań typowych dla EFS+ koniecznych do wdrożenia części operacji objętej EFRR i bezpośrednio z nią związanych)</w:t>
      </w:r>
    </w:p>
    <w:p w14:paraId="02C508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80E" w14:textId="06D2E38C"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 w ramach działania 1.4. udzielane będzie projektom przyczyniającym się do realizacji celu szczegółowego: Czerpanie korzyści z cyfryzacji dla obywateli, przedsiębiorstw, organizacji badawczych i instytucji publicznych.</w:t>
      </w:r>
      <w:r>
        <w:br/>
        <w:t>Do realizacji powyższego celu wyodrębniono następujące typy projektów:</w:t>
      </w:r>
      <w:r>
        <w:br/>
        <w:t>1.</w:t>
      </w:r>
      <w:r>
        <w:tab/>
        <w:t>Cyfryzacja procesów back-office w podmiotach świadczących usługi publiczne oraz elementy smart city</w:t>
      </w:r>
      <w:r>
        <w:br/>
        <w:t>2.</w:t>
      </w:r>
      <w:r>
        <w:tab/>
        <w:t>Tworzenie i rozwój e-usług publicznych</w:t>
      </w:r>
      <w:r>
        <w:br/>
        <w:t>3.</w:t>
      </w:r>
      <w:r>
        <w:tab/>
        <w:t>Digitalizacja i udostępnianie danych</w:t>
      </w:r>
      <w:r>
        <w:br/>
      </w:r>
      <w:r>
        <w:br/>
        <w:t xml:space="preserve">W ramach 1. typu projektu można realizować inwestycje dotyczące cyfryzacji procesów w podmiotach świadczących usługi publiczne, celem uproszczenia i usprawnienia oferowanych usług publicznych. W projektach może pojawić się zarówno rozbudowa zaplecza biurowego (back office), jak i elementy smart city - w celu zwiększenia interaktywności i wydajności infrastruktury miejskiej. </w:t>
      </w:r>
      <w:r>
        <w:br/>
      </w:r>
      <w:r>
        <w:lastRenderedPageBreak/>
        <w:t>W zakresie rozwiązań back-office wspierane będą w szczególności projekty związane z</w:t>
      </w:r>
      <w:r w:rsidR="002D509E">
        <w:t xml:space="preserve"> </w:t>
      </w:r>
      <w:r>
        <w:t>podniesieniem jakości świadczonych usług publicznych, w tym - dotyczące systemów usprawniających przepływ informacji w organizacji (obieg dokumentów), systemów obejmujących zarządzanie wybranymi aspektami funkcjonowania organizacji (np. zarządzanie personelem, zarządzanie częścią finansowo-księgową) oraz innych systemów, usprawniających istniejące w organizacji procedury i podnoszących poziom cyfryzacji procesów oraz usług.</w:t>
      </w:r>
      <w:r>
        <w:br/>
        <w:t>W zakresie rozwiązań typu smart city wspierać będziemy wszelkie rozwiązania, wykorzystujące nowe technologie, prowadzące do polepszenia jakości życia mieszkańców.</w:t>
      </w:r>
      <w:r>
        <w:br/>
        <w:t>Dofinansowany będzie między innymi zakup narzędzi informatycznych i sprzętu, niezbędnego do cyfryzacji procesów w administracji oraz inteligentne czujniki i inna infrastruktura typu “smart city”.</w:t>
      </w:r>
      <w:r>
        <w:br/>
      </w:r>
      <w:r>
        <w:br/>
        <w:t>2. typ projektu obejmuje tworzenie i rozwijanie e-usług publicznych (lokalnych, ponadlokalnych oraz regionalnych), świadczonych na rzecz mieszkańców (A2C), przedsiębiorców (A2B) lub też służących do wymiany danych między administracją/instytucjami publicznymi (A2A). Realizacja projektów z tego zakresu powinna przyczynić się do zwiększenia popularności i wykorzystania e-usług publicznych – w tym celu możliwe jest wydatkowanie środków, związanych z dostosowaniem projektowanych rozwiązań do potrzeb ich odbiorców.</w:t>
      </w:r>
      <w:r>
        <w:br/>
        <w:t xml:space="preserve">Wsparcie przeznaczone będzie na nowe i znacząco ulepszone e-usługi publiczne, umożliwiające załatwienie przez użytkownika sprawy w sposób całkowicie zdalny, które powinna cechować pełna dostępność online, czyli 4. bądź 5. poziom dojrzałości. </w:t>
      </w:r>
      <w:r>
        <w:br/>
        <w:t>Dofinansowany będzie między innymi zakup narzędzi informatycznych i sprzętu, niezbędnego do świadczenia usług publicznych na poziomie lokalnym, ponadlokalnym, regionalnym.</w:t>
      </w:r>
      <w:r>
        <w:br/>
      </w:r>
      <w:r>
        <w:br/>
        <w:t>3. typ interwencji ma na celu zwiększenie dostępności danych publicznych, które są w posiadaniu podmiotów administracji samorządowej oraz samorządowych jednostek organizacyjnych. Możliwa jest także digitalizacja zasobów, a w przypadku zasobów mapowych – tworzenie map cyfrowych dostępnych online.</w:t>
      </w:r>
      <w:r w:rsidR="002D509E">
        <w:t xml:space="preserve"> </w:t>
      </w:r>
      <w:r>
        <w:br/>
        <w:t xml:space="preserve">Udostępnione dane powinny być interoperacyjne i nadawać się do ponownego wykorzystania. </w:t>
      </w:r>
      <w:r>
        <w:br/>
        <w:t>Szczególnie pożądane jest udostępnianie zbiorów danych o wysokiej wartości, czyli inaczej dokumentów, których ponowne wykorzystywanie wiąże się z istotnymi korzyściami dla społeczeństwa, środowiska i gospodarki, a także danych dynamicznych, czyli dokumentów w formie cyfrowej, podlegających częstym aktualizacjom lub aktualizacjom w czasie rzeczywistym, w szczególności ze względu na ich zmienność lub szybką dezaktualizację (dane generowane przez czujniki zasadniczo uznaje się za dane dynamiczne).</w:t>
      </w:r>
      <w:r>
        <w:br/>
        <w:t>Dofinansowany będzie między innymi zakup narzędzi informatycznych i sprzętu niezbędnego do cyfryzacji/udostępnienia zasobów, a w uzasadnionych przypadkach - geodezyjne pomiary terenowe związane z digitalizacją.</w:t>
      </w:r>
      <w:r>
        <w:br/>
      </w:r>
      <w:r>
        <w:br/>
        <w:t xml:space="preserve">W działaniu 1.4 można ze sobą łączyć wszystkie trzy typy projektów. </w:t>
      </w:r>
      <w:r>
        <w:br/>
      </w:r>
      <w:r>
        <w:br/>
        <w:t xml:space="preserve">Jako element każdej inwestycji (niezależnie od typu projektu), możliwe jest wdrożenie rozwiązań, podnoszących poziom cyberbezpieczeństwa danego podmiotu, w szczególności - nabycie niezbędnych narzędzi informatycznych wraz z oprogramowaniem oraz podniesieniem kompetencji pracowników. </w:t>
      </w:r>
      <w:r>
        <w:lastRenderedPageBreak/>
        <w:t xml:space="preserve">Dopuszcza się także przeprowadzenie audytu bezpieczeństwa w jednostce objętej wsparciem. </w:t>
      </w:r>
      <w:r>
        <w:br/>
        <w:t xml:space="preserve">Uzupełniająco, w ramach wszystkich realizowanych projektów możliwe jest także uzyskanie wsparcia, przeznaczonego na szkolenia, podnoszące kompetencje cyfrowe pracowników (związane z projektem). </w:t>
      </w:r>
      <w:r>
        <w:br/>
        <w:t>Inwestycje w infrastrukturę informatyczną muszą być uzasadnione celami projektu oraz analizą wskazującą na niedostępność wystarczających zasobów w ramach administracji publicznej niezbędnych do tworzenia, wdrażania lub obsługi e-usług publicznych.</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 xml:space="preserve">Ze wsparcia w ramach działania 1.4 wyłączone są projekty obejmujące cyfryzację zasobów w obszarze kultury. </w:t>
      </w:r>
      <w:r>
        <w:br/>
        <w:t>Wsparcie projektów mających na celu wyłącznie rozwój kompetencji cyfrowych mieszkańców oraz pracowników administracji województwa śląskiego oferowane jest w ramach Priorytetu V. W ramach działania 1.4, jako element projektu, możliwe jest natomiast uzyskanie wsparcia na kampanie edukacyjno-informacyjne budujące/zwiększające popyt obywateli na wykorzystywanie e-usług, bądź też udostępnionych online danych, czy też z innych rozwiązań cyfrowych będących przedmiotem projektu.</w:t>
      </w:r>
      <w:r>
        <w:br/>
      </w:r>
      <w:r>
        <w:br/>
        <w:t>Obligatoryjne warunki wsparcia:</w:t>
      </w:r>
      <w:r>
        <w:br/>
        <w:t>1) Projekty dotyczące digitalizacji muszą być zgodne z Dyrektywą Parlamentu Europejskiego i Rady 2019/1024 z dnia 20 czerwca 2019 w sprawie otwartych danych i ponownego wykorzystywania informacji sektora publicznego (dotyczy typu projektu 3).</w:t>
      </w:r>
      <w:r>
        <w:br/>
        <w:t>2) Projekty dotyczące danych geodezyjnych i kartograficznych muszą posiadać pozytywną opinię Głównego Geodety Kraju.</w:t>
      </w:r>
      <w:r>
        <w:br/>
        <w:t>3) Wnioskodawca na etapie przygotowania projektu obowiązkowo musi zidentyfikować grupę potencjalnych użytkowników oraz:</w:t>
      </w:r>
      <w:r>
        <w:br/>
        <w:t>•</w:t>
      </w:r>
      <w:r>
        <w:tab/>
        <w:t>dokonać analizy potrzeb</w:t>
      </w:r>
      <w:r>
        <w:br/>
        <w:t>•</w:t>
      </w:r>
      <w:r>
        <w:tab/>
        <w:t>przeprowadzić analizę wariantową.</w:t>
      </w:r>
      <w:r>
        <w:br/>
        <w:t xml:space="preserve">Powyższe działania mają pomóc przygotować projekty, które są potrzebne społecznie i skrojone na potrzeby ich przyszłych użytkowników, co powinno finalnie doprowadzić do zwiększenia wykorzystania e-usług publicznych i udostępnionych danych publicznych. </w:t>
      </w:r>
      <w:r>
        <w:br/>
        <w:t>4) Inwestycje muszą być komplementarne i interoperacyjne z istniejącymi i planowanymi e-usługami (na poziomie regionalnym i krajowym), a także zgodne z pryncypiami Architektury Informacyjnej Państwa.</w:t>
      </w:r>
      <w:r>
        <w:br/>
        <w:t>5) Beneficjenci wsparcia zobowiązani będą do tworzenia i świadczenia usług elektronicznych spełniających standardy dostępności zgodnie z dyrektywami: (UE) 2019/882 z 17 kwietnia 2019 r. w sprawie wymogów dostępności produktów i usług oraz (UE) 2016/2102 z dnia 26 października 2016 r. w sprawie dostępności stron internetowych i mobilnych aplikacji organów sektora publicznego.</w:t>
      </w:r>
      <w:r>
        <w:br/>
        <w:t xml:space="preserve">6) Wnioskodawca publikujący treści internetowe zobowiązany jest zapewnić ich zgodność z wytycznymi, dotyczącymi dostępności treści internetowych (WCAG) oraz ze standardem cyfrowym. Wsparcie procesów cyfryzacji przyczyni się do zwiększenia dostępności świadczonych e-usług publicznych, zwłaszcza dla grup defaworyzowanych. Dotyczy to przede wszystkim niepełnosprawności, miejsca zamieszkania oraz wieku użytkowników. W produktach będących efektem realizacji projektów wymagana będzie dostępność cyfrowa na poziomie co najmniej standardu WCAG 2.1. na poziomie AA, a </w:t>
      </w:r>
      <w:r>
        <w:lastRenderedPageBreak/>
        <w:t xml:space="preserve">pozytywna realizacja cyfrowego standardu dostępności będzie warunkiem brzegowym. </w:t>
      </w:r>
      <w:r>
        <w:br/>
        <w:t>7) Zgodność inwestycji ze standardami wyznaczonymi w ramach krajowego systemu cyberbezpieczeństwa.</w:t>
      </w:r>
      <w:r>
        <w:br/>
        <w:t>8) 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Preferowane warunki wsparcia:</w:t>
      </w:r>
      <w:r>
        <w:br/>
        <w:t xml:space="preserve">1) Priorytetowe wsparcie uzyskają usługi cyfrowe realizowane w obszarach:  </w:t>
      </w:r>
      <w:r>
        <w:br/>
        <w:t>•</w:t>
      </w:r>
      <w:r>
        <w:tab/>
        <w:t>administracja publiczna</w:t>
      </w:r>
      <w:r>
        <w:br/>
        <w:t>•</w:t>
      </w:r>
      <w:r>
        <w:tab/>
        <w:t>wspieranie przedsiębiorczości i prowadzenie działalności gospodarczej</w:t>
      </w:r>
      <w:r>
        <w:br/>
        <w:t>•</w:t>
      </w:r>
      <w:r>
        <w:tab/>
        <w:t>tworzenie innowacyjnych rozwiązań cyfrowych dla zdrowia</w:t>
      </w:r>
      <w:r>
        <w:br/>
        <w:t>•</w:t>
      </w:r>
      <w:r>
        <w:tab/>
        <w:t>informacja przestrzenna</w:t>
      </w:r>
      <w:r>
        <w:br/>
        <w:t>•</w:t>
      </w:r>
      <w:r>
        <w:tab/>
        <w:t>digitalizacja zasobów.</w:t>
      </w:r>
      <w:r>
        <w:br/>
        <w:t>Wpisywanie się projektu w ww. obszar lub obszary będzie premiowane (w przypadku trybu niekonkurencyjnego – warunek obligatoryjny) w trakcie oceny projektu. Jednocześnie, w przypadku przedsięwzięć dotyczących obszaru “tworzenie innowacyjnych rozwiązań cyfrowych dla zdrowia" dedykowano działanie 1.5 Innowacyjne rozwiązania cyfrowe w ochronie zdrowia.</w:t>
      </w:r>
      <w:r>
        <w:br/>
        <w:t>2) Dodatkowo premiowane będą działania proekologiczne, w szczególności zmierzające do redukcji emisji gazów cieplarnianych, zastosowania rozwiązań ograniczających zapotrzebowanie na energię elektryczną oraz wykorzystania OZE.</w:t>
      </w:r>
      <w:r>
        <w:br/>
        <w:t>3) Premiowane będą projekty, które mają istotny wkład w realizację jednego z sześciu celów środowiskowych określonych w rozporządzeniu (UE) 2020/852.</w:t>
      </w:r>
      <w:r>
        <w:br/>
        <w:t>4) Preferowana będzie również realizacja zielonych zamówień publicznych w oparciu o opracowane przez KE wspólne kryteria możliwe do stosowania w państwach członkowskich Unii.</w:t>
      </w:r>
      <w:r>
        <w:br/>
        <w:t>5) Premiowane będą projekty uwzględniające wydatki związane z podniesieniem cyberbezpieczeństwa.</w:t>
      </w:r>
      <w:r>
        <w:br/>
        <w:t>6) Premiowane będą projekty komplementarne z projektami transnarodowymi np. Interreg Europa Środkowa 2021-2027 lub Interreg Europa 2021-2027.</w:t>
      </w:r>
      <w:r>
        <w:br/>
        <w:t>Przedsięwzięcia priorytetowe wskazane w Kontrakcie Programowym dla Województwa Śląskiego wybierane będą w sposób niekonkurencyjny.</w:t>
      </w:r>
    </w:p>
    <w:p w14:paraId="02C508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8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8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8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8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8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8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8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02C508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8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8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8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8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8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08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8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2C508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8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8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8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Organizacje społeczne i związki wyznaniowe, Partnerstwa, Przedsiębiorstwa realizujące cele publiczne, Służby publiczne</w:t>
      </w:r>
    </w:p>
    <w:p w14:paraId="02C508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8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Instytucje kultury, Jednostki organizacyjne działające w imieniu jednostek samorządu terytorialnego, Jednostki Samorządu Terytorialnego, Organizacje pozarządowe, Organizatorzy i operatorzy publicznego transportu zbiorowego, Partnerstwa Publiczno-Prywatne, Podmioty świadczące usługi publiczne w ramach realizacji obowiązków własnych jednostek samorządu terytorialnego, Policja, straż pożarna i służby ratownicze, Przedsiębiorstwa gospodarujące odpadami, Przedsiębiorstwa kolejowych przewozów pasażerskich, Przedsiębiorstwa wodociągowo-kanalizacyjne, Szkoły i inne placówki systemu oświaty, Uczelnie</w:t>
      </w:r>
    </w:p>
    <w:p w14:paraId="02C508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8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cyberbezpieczeństwo, cyfrowy, cyfryzacja, digitalizacja, digitalizacja_zasobow, e-administracja, e-urząd, smartcity, teleinformatyka, TIK</w:t>
      </w:r>
    </w:p>
    <w:p w14:paraId="02C508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8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8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8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8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8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WLWK-RCO014 - Instytucje publiczne otrzymujące wsparcie na opracowywanie usług, produktów i procesów cyfrowych</w:t>
      </w:r>
    </w:p>
    <w:p w14:paraId="02C508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WLWK-PLRO161 - Liczba kampanii edukacyjno-informacyjnych dotyczących TIK</w:t>
      </w:r>
    </w:p>
    <w:p w14:paraId="02C508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8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WLWK-PLRO013 - Liczba osób objętych szkoleniami w zakresie kompetencji cyfrowych</w:t>
      </w:r>
    </w:p>
    <w:p w14:paraId="02C508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WLWK-PLRO010 - Liczba podmiotów, które udostępniły informacje sektora publicznego/dane prywatne on-line</w:t>
      </w:r>
    </w:p>
    <w:p w14:paraId="02C508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WLWK-PLRO014 - Liczba podmiotów wspartych w zakresie cyberbezpieczeństwa</w:t>
      </w:r>
    </w:p>
    <w:p w14:paraId="02C508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WLWK-PLRO008 - Liczba podmiotów wspartych w zakresie rozwoju usług, produktów i procesów cyfrowych</w:t>
      </w:r>
    </w:p>
    <w:p w14:paraId="02C508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8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WLWK-PLRO012 - Liczba usług publicznych udostępnionych on-line o stopniu dojrzałości co najmniej 4 - transakcja</w:t>
      </w:r>
    </w:p>
    <w:p w14:paraId="02C508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PROG-FESLO-30 - Liczba udostępnionych usług wewnątrzadministracyjnych (A2A)</w:t>
      </w:r>
    </w:p>
    <w:p w14:paraId="02C508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PROG-FESLO-29 - Liczba wdrożonych narzędzi informatycznych usprawniających procesy</w:t>
      </w:r>
    </w:p>
    <w:p w14:paraId="02C508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8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8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WLWK-RCR011 - Użytkownicy nowych i zmodernizowanych publicznych usług, produktów i procesów cyfrowych</w:t>
      </w:r>
    </w:p>
    <w:p w14:paraId="02C508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83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 w:name="_Toc235079745"/>
      <w:r>
        <w:rPr>
          <w:rFonts w:ascii="Calibri" w:hAnsi="Calibri" w:cs="Calibri"/>
          <w:sz w:val="32"/>
        </w:rPr>
        <w:t>Działanie FESL.01.05 Innowacyjne rozwiązania cyfrowe w ochronie zdrowia</w:t>
      </w:r>
      <w:bookmarkEnd w:id="7"/>
    </w:p>
    <w:p w14:paraId="02C508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8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 - Czerpanie korzyści z cyfryzacji dla obywateli, przedsiębiorstw, organizacji badawczych i instytucji publicznych</w:t>
      </w:r>
    </w:p>
    <w:p w14:paraId="02C508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8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08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8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08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8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019 - Usługi i aplikacje w zakresie e-zdrowia (w tym e-opieka, internet rzeczy w zakresie aktywności fizycznej i nowoczesnych technologii w służbie osobom starszym), 172 - Finansowanie krzyżowe w ramach EFRR (wsparcie dla działań typowych dla EFS+ koniecznych do wdrożenia części operacji objętej EFRR i bezpośrednio z nią związanych)</w:t>
      </w:r>
    </w:p>
    <w:p w14:paraId="02C508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845" w14:textId="5A14B5BB"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działaniu realizowane będą projekty, polegające na wykorzystaniu sztucznej inteligencji i/lub zbiorów danych zgromadzonych w placówkach medycznych w celu poprawy zdrowia mieszkańców poprzez - między innymi - usprawnienie procesów diagnostycznych, usprawnienie obsługi pacjentów w jednostkach ochrony zdrowia, czy też poprzez zarządzanie farmakoterapią pacjenta. W działaniu możliwa jest także digitalizacja danych w celu ich późniejszego wykorzystania w projekcie.</w:t>
      </w:r>
      <w:r w:rsidR="002D509E">
        <w:t xml:space="preserve"> </w:t>
      </w:r>
      <w:r>
        <w:br/>
        <w:t xml:space="preserve">Przykładowe inwestycje, które można zrealizować w ramach działania 1.5: </w:t>
      </w:r>
      <w:r>
        <w:br/>
        <w:t>•</w:t>
      </w:r>
      <w:r>
        <w:tab/>
        <w:t>wykorzystanie sztucznej inteligencji (AI) do wykrywania anomalii na obrazach medycznych np. przy rezonansie magnetycznym czy tomografii komputerowej,</w:t>
      </w:r>
      <w:r w:rsidR="002D509E">
        <w:t xml:space="preserve"> </w:t>
      </w:r>
      <w:r>
        <w:br/>
        <w:t>•</w:t>
      </w:r>
      <w:r>
        <w:tab/>
        <w:t>rozwiązania oparte na AI, zapewniające trafniejszą diagnozę - dane zebrane w wywiadzie medycznym, analizowane przez inteligentne algorytmy,</w:t>
      </w:r>
      <w:r w:rsidR="002D509E">
        <w:t xml:space="preserve"> </w:t>
      </w:r>
      <w:r>
        <w:br/>
        <w:t>•</w:t>
      </w:r>
      <w:r>
        <w:tab/>
        <w:t>aplikacje mobilne wykrywające symptomy choroby,</w:t>
      </w:r>
      <w:r w:rsidR="002D509E">
        <w:t xml:space="preserve"> </w:t>
      </w:r>
      <w:r>
        <w:br/>
        <w:t>•</w:t>
      </w:r>
      <w:r>
        <w:tab/>
        <w:t xml:space="preserve">wykorzystanie uczenia maszynowego - skanowanie bazy leków i sugerowanie rozwiązań </w:t>
      </w:r>
      <w:r>
        <w:lastRenderedPageBreak/>
        <w:t>farmaceutycznych w danych jednostkach chorobowych.</w:t>
      </w:r>
      <w:r w:rsidR="002D509E">
        <w:t xml:space="preserve"> </w:t>
      </w:r>
      <w:r>
        <w:br/>
        <w:t>Wsparcie w ramach Działania 1.5 obejmować będzie zarówno opracowanie i wdrożenie tego typu rozwiązań, jak i zakup niezbędnych narzędzi informatycznych oraz sprzętu.</w:t>
      </w:r>
      <w:r w:rsidR="002D509E">
        <w:t xml:space="preserve"> </w:t>
      </w:r>
      <w:r>
        <w:br/>
        <w:t xml:space="preserve">Uzupełniająco, jako element każdego projektu, można uzyskać wsparcie na podnoszenie kompetencji pracowników w zakresie związanym z projektem. </w:t>
      </w:r>
      <w:r>
        <w:br/>
        <w:t>Jako element każdej inwestycji możliwe jest także wdrożenie rozwiązań podnoszących poziom cyberbezpieczeństwa danego podmiotu, w szczególności nabycie niezbędnych narzędzi informatycznych wraz z oprogramowaniem oraz podniesieniem kompetencji pracowników. Dopuszcza się także przeprowadzenie audytu bezpieczeństwa w jednostce objętej wsparciem.</w:t>
      </w:r>
      <w:r w:rsidR="002D509E">
        <w:t xml:space="preserve"> </w:t>
      </w:r>
      <w:r>
        <w:br/>
        <w:t>W zakresie e-zdrowia komplementarne wsparcie będzie realizowane w Priorytecie VIII.</w:t>
      </w:r>
      <w:r w:rsidR="002D509E">
        <w:t xml:space="preserve"> </w:t>
      </w:r>
      <w:r>
        <w:br/>
        <w:t xml:space="preserve">Z dofinansowania w tym działaniu wykluczone są projekty, dotyczące B+R (prac badawczo-rozwojowych nad sztuczną inteligencją) oraz polegające na przeprowadzaniu zabiegów/leczeniu pacjentów przy użyciu robotów/AI. </w:t>
      </w:r>
      <w:r>
        <w:br/>
        <w:t>W ramach planowanego wsparcia przeznaczonego na inwestycje, wykorzystujące sztuczną inteligencję oraz zbiory danych gromadzone w placówkach medycznych, wykorzystana zostanie wiedza i doświadczenie podmiotów z zagranicy, w tym z wiodących ośrodków medycznych i naukowych. Wśród regionalnych inteligentnych specjalizacji województwa wskazana została medycyna i jest to dziedzina, którą z powodzeniem rozwija się w regionie, w tym także w obszarze cyfryzacji. Jest to zatem obszar, w którym mogą się pojawić wspólne inicjatywy projektowe o wymiarze międzyregionalnym, a także transnarodowym. Przewidziana interwencja jest komplementarna z interwencją planowaną np. z programu Interreg Europa Środkowa 2021-2027 i programu Interreg Europa 2021-2027.</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 xml:space="preserve">Obligatoryjne warunki wsparcia: </w:t>
      </w:r>
      <w:r>
        <w:br/>
        <w:t>1)</w:t>
      </w:r>
      <w:r>
        <w:tab/>
        <w:t>Projekty dotyczące innowacyjnych rozwiązań cyfrowych dla zdrowia mogą zostać objęte wsparciem, o ile wnioskodawca dysponuje ważną pozytywną opinią ministra właściwego do spraw zdrowia w zakresie zgodności projektu z dokumentami strategicznymi i programowymi w obszarze zdrowia cyfrowego oraz jego komplementarności i interoperacyjności z rozwiązaniami w zakresie e-zdrowia obowiązującymi na dzień złożenia wniosku o wydanie opinii.</w:t>
      </w:r>
      <w:r w:rsidR="002D509E">
        <w:t xml:space="preserve"> </w:t>
      </w:r>
      <w:r>
        <w:br/>
        <w:t xml:space="preserve">Planowane projekty będą także podlegały uzgodnieniom na forum Komitetu Sterującego do spraw koordynacji wsparcia w sektorze zdrowia zgodnie z przyjętym systemem koordynacji. </w:t>
      </w:r>
      <w:r>
        <w:br/>
        <w:t>2)</w:t>
      </w:r>
      <w:r>
        <w:tab/>
        <w:t xml:space="preserve">Wnioskodawca na etapie przygotowania projektu obowiązkowo musi zidentyfikować grupę potencjalnych użytkowników i: </w:t>
      </w:r>
      <w:r>
        <w:br/>
        <w:t>•</w:t>
      </w:r>
      <w:r>
        <w:tab/>
        <w:t>dokonać analizy potrzeb</w:t>
      </w:r>
      <w:r w:rsidR="002D509E">
        <w:t xml:space="preserve"> </w:t>
      </w:r>
      <w:r>
        <w:br/>
        <w:t>•</w:t>
      </w:r>
      <w:r>
        <w:tab/>
        <w:t xml:space="preserve">przeprowadzić analizę wariantową. </w:t>
      </w:r>
      <w:r>
        <w:br/>
        <w:t>3)</w:t>
      </w:r>
      <w:r>
        <w:tab/>
        <w:t>Inwestycje muszą być komplementarne i interoperacyjne z istniejącymi i planowanymi e-usługami (na poziomie regionalnym i krajowym)</w:t>
      </w:r>
      <w:r>
        <w:br/>
        <w:t>4)</w:t>
      </w:r>
      <w:r>
        <w:tab/>
        <w:t xml:space="preserve">Beneficjenci wsparcia zobowiązani będą do tworzenia i świadczenia usług elektronicznych spełniających standardy dostępności zgodnie z dyrektywami: (UE) 2019/882 w sprawie wymogów dostępności produktów i usług oraz (UE) 2016/2102 z 26 października 2016 r. w sprawie dostępności </w:t>
      </w:r>
      <w:r>
        <w:lastRenderedPageBreak/>
        <w:t>stron internetowych i mobilnych aplikacji organów sektora publicznego</w:t>
      </w:r>
      <w:r>
        <w:br/>
        <w:t>5)</w:t>
      </w:r>
      <w:r>
        <w:tab/>
        <w:t xml:space="preserve">Wytworzone w projekcie treści internetowe muszą być zgodne z wytycznymi dotyczącymi dostępności treści internetowych (WCAG) oraz standardem cyfrowym, by ułatwić dostęp do nich grupom defaworyzowanym. Pozytywna realizacja cyfrowego standardu dostępności będzie warunkiem brzegowym. </w:t>
      </w:r>
      <w:r>
        <w:br/>
        <w:t>6)</w:t>
      </w:r>
      <w:r>
        <w:tab/>
        <w:t>Zgodność inwestycji ze standardami wyznaczonymi w ramach krajowego systemu cyberbezpieczeństwa.</w:t>
      </w:r>
      <w:r>
        <w:br/>
      </w:r>
      <w:r>
        <w:br/>
        <w:t xml:space="preserve">Preferowane warunki wsparcia: </w:t>
      </w:r>
      <w:r>
        <w:br/>
        <w:t>1)</w:t>
      </w:r>
      <w:r>
        <w:tab/>
        <w:t>Dodatkowo premiowane będą działania proekologiczne, w szczególności zmierzające do redukcji emisji gazów cieplarnianych, zastosowania rozwiązań ograniczających zapotrzebowanie na energię elektryczną oraz wykorzystania OZE.</w:t>
      </w:r>
      <w:r>
        <w:br/>
        <w:t>2)</w:t>
      </w:r>
      <w:r w:rsidR="002D509E">
        <w:t xml:space="preserve"> </w:t>
      </w:r>
      <w:r>
        <w:t xml:space="preserve">Premiowane będą projekty, które mają istotny wkład w realizację jednego z sześciu celów środowiskowych określonych w rozporządzeniu (UE) 2020/852. </w:t>
      </w:r>
      <w:r>
        <w:br/>
        <w:t>3)</w:t>
      </w:r>
      <w:r>
        <w:tab/>
        <w:t>Preferowana będzie również realizacja zielonych zamówień publicznych w oparciu o opracowane przez KE wspólne kryteria możliwe do stosowania w państwach członkowskich Unii.</w:t>
      </w:r>
      <w:r>
        <w:br/>
        <w:t>4)</w:t>
      </w:r>
      <w:r>
        <w:tab/>
        <w:t>Premiowane będą projekty uwzględniające wydatki związane z podniesieniem cyberbezpieczeństwa.</w:t>
      </w:r>
    </w:p>
    <w:p w14:paraId="02C508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8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8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8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8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8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8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8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29 </w:t>
      </w:r>
      <w:r>
        <w:lastRenderedPageBreak/>
        <w:t>listopada 2022 r. w sprawie udzielania pomocy inwestycyjnej na infrastrukturę badawczą w ramach regionalnych programów na lata 2021–2027 (Dz.U. 2022 poz. 2498)</w:t>
      </w:r>
    </w:p>
    <w:p w14:paraId="02C508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8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8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8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8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8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08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8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8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8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8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8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Partnerstwa</w:t>
      </w:r>
    </w:p>
    <w:p w14:paraId="02C508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8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naukowe, Jednostki Samorządu Terytorialnego, Niepubliczne zakłady opieki zdrowotnej, Partnerstwa Publiczno-Prywatne, Publiczne zakłady opieki zdrowotnej, Uczelnie</w:t>
      </w:r>
    </w:p>
    <w:p w14:paraId="02C508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8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AI, cyfryzacja, dane, e-zdrowie, IT, sztuczna_inteligencja, TIK</w:t>
      </w:r>
    </w:p>
    <w:p w14:paraId="02C508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8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8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8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WLWK-RCO014 - Instytucje publiczne otrzymujące wsparcie na opracowywanie usług, produktów i procesów cyfrowych</w:t>
      </w:r>
    </w:p>
    <w:p w14:paraId="02C508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8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WLWK-PLRO010 - Liczba podmiotów, które udostępniły informacje sektora publicznego/dane prywatne on-line</w:t>
      </w:r>
    </w:p>
    <w:p w14:paraId="02C508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WLWK-PLRO014 - Liczba podmiotów wspartych w zakresie cyberbezpieczeństwa</w:t>
      </w:r>
    </w:p>
    <w:p w14:paraId="02C508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WLWK-PLRO008 - Liczba podmiotów wspartych w zakresie rozwoju usług, produktów i procesów cyfrowych</w:t>
      </w:r>
    </w:p>
    <w:p w14:paraId="02C508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WLWK-PLRO199 - Liczba projektów, w których sfinansowano koszty racjonalnych usprawnień dla osób z niepełnosprawnościami (EFRR/FST/FS)</w:t>
      </w:r>
    </w:p>
    <w:p w14:paraId="02C508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8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8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WLWK-RCR011 - Użytkownicy nowych i zmodernizowanych publicznych usług, produktów i procesów cyfrowych</w:t>
      </w:r>
    </w:p>
    <w:p w14:paraId="02C508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86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 w:name="_Toc235079746"/>
      <w:r>
        <w:rPr>
          <w:rFonts w:ascii="Calibri" w:hAnsi="Calibri" w:cs="Calibri"/>
          <w:sz w:val="32"/>
        </w:rPr>
        <w:t>Działanie FESL.01.06 Rozwój przedsiębiorczości - EFRR</w:t>
      </w:r>
      <w:bookmarkEnd w:id="8"/>
    </w:p>
    <w:p w14:paraId="02C508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8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EFRR.CP1.III - Wzmacnianie trwałego wzrostu i konkurencyjności MŚP oraz tworzenie miejsc pracy w MŚP, w tym poprzez inwestycje produkcyjne</w:t>
      </w:r>
    </w:p>
    <w:p w14:paraId="02C508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08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08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8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11 696 979,00</w:t>
      </w:r>
    </w:p>
    <w:p w14:paraId="02C508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8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10 465 719,00</w:t>
      </w:r>
    </w:p>
    <w:p w14:paraId="02C508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8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025 - Inkubatory przedsiębiorczości, wsparcie dla przedsiębiorstw typu spin-off i spin-out i przedsiębiorstw typu start-up</w:t>
      </w:r>
    </w:p>
    <w:p w14:paraId="02C508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877" w14:textId="6935D704"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oferowane będzie wsparcie dla osób planujących rozpoczęcie działalności gospodarczej oraz dla już działających przedsiębiorstw, polegające na oferowaniu usług doradczych świadczonych przez sieć podmiotów wspomagających rozpoczęcie działalności gospodarczej oraz wspierających przedsiębiorstwo.</w:t>
      </w:r>
      <w:r>
        <w:br/>
        <w:t xml:space="preserve">Wsparcie będzie obejmowało pomoc na każdym etapie działalności gospodarczej, m. in. przygotowania biznes planu, badania rynku, założenia działalności aż po wsparcie dla działających już przedsiębiorstw polegające na pomocy w znalezieniu przestrzeni biurowej, handlowej, produkcyjnej, jak również wsparciu w pozyskaniu zewnętrznych źródeł finansowania niezbędnych do rozwoju firmy. </w:t>
      </w:r>
      <w:r>
        <w:br/>
        <w:t xml:space="preserve">W ramach planowanego przedsięwzięcia opracowany zostanie regionalny system voucherów na usługi świadczone na rzecz MŚP, a także stworzona zostanie sieć podmiotów oferujących wsparcie dla osób prowadzących oraz rozpoczynających działalność gospodarczą. </w:t>
      </w:r>
      <w:r>
        <w:br/>
      </w:r>
      <w:r>
        <w:lastRenderedPageBreak/>
        <w:br/>
        <w:t>W ramach działania wsparty zostanie projekt wskazany w Kontrakcie Programowym dla Województwa Śląskiego. Projekt stanowi część szerszego przedsięwzięcia mającego na celu zwiększenie poziomu przedsiębiorczości w regonie.</w:t>
      </w:r>
      <w:r>
        <w:br/>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08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8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8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8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08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8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8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8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02C508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8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8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8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8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8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8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8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08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8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02C508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8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wspierające biznes, Przedsiębiorstwa, Przedsiębiorstwa realizujące cele publiczne</w:t>
      </w:r>
    </w:p>
    <w:p w14:paraId="02C508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8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doradztwo_biznesowe, IOB, start-up, usługi_proinnowacyjne</w:t>
      </w:r>
    </w:p>
    <w:p w14:paraId="02C508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8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Mikro, Średnie</w:t>
      </w:r>
    </w:p>
    <w:p w14:paraId="02C508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8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8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8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8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8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08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08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08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WLWK-RCO005 - Nowe przedsiębiorstwa objęte wsparciem</w:t>
      </w:r>
    </w:p>
    <w:p w14:paraId="02C508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WLWK-RCO004 - Przedsiębiorstwa otrzymujące wsparcie niefinansowe</w:t>
      </w:r>
    </w:p>
    <w:p w14:paraId="02C508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8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02C508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PROG-FESLR-17 - Liczba podmiotów gospodarczych, w których nastąpił wzrost przedsiębiorczości dzięki udziałowi w programie</w:t>
      </w:r>
    </w:p>
    <w:p w14:paraId="02C508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89E"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 w:name="_Toc235079747"/>
      <w:r>
        <w:rPr>
          <w:rFonts w:ascii="Calibri" w:hAnsi="Calibri" w:cs="Calibri"/>
          <w:sz w:val="32"/>
        </w:rPr>
        <w:t>Działanie FESL.01.07 Klastry</w:t>
      </w:r>
      <w:bookmarkEnd w:id="9"/>
    </w:p>
    <w:p w14:paraId="02C508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8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EFRR.CP1.III - Wzmacnianie trwałego wzrostu i konkurencyjności MŚP oraz tworzenie miejsc pracy w MŚP, w tym poprzez inwestycje produkcyjne</w:t>
      </w:r>
    </w:p>
    <w:p w14:paraId="02C508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8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0,00</w:t>
      </w:r>
    </w:p>
    <w:p w14:paraId="02C508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8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08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8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026 - Wsparcie dla klastrów innowacyjnych, w tym między przedsiębiorstwami, organizacjami badawczymi i organami publicznymi oraz sieciami biznesowymi, z korzyścią głównie dla MŚP</w:t>
      </w:r>
    </w:p>
    <w:p w14:paraId="02C508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8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Interwencja będzie obejmowała przedsięwzięcia wzmacniające współpracę podmiotów działających w klastrach, rozwój łańcuchów wartości oraz budowanie pozycji rynkowej klastra i jego członków na arenie międzynarodowej. Klastry mające status akredytowanych Instytucji Otoczenia Biznesu mogą również pozyskać wsparcie na opracowanie i świadczenie nowych usług na rzecz przedsiębiorstw działających w klastrze.</w:t>
      </w:r>
      <w:r>
        <w:br/>
        <w:t xml:space="preserve">W ramach każdego projektu możliwe będzie wsparcie na podnoszenie kompetencji pracowników zatrudnionych w instytucjach będących członkiem inicjatywy klastrowej. </w:t>
      </w:r>
      <w:r>
        <w:br/>
      </w:r>
      <w:r>
        <w:br/>
        <w:t>Obligatoryjne warunki wsparcia:</w:t>
      </w:r>
      <w:r>
        <w:br/>
        <w:t>Wsparcie przeznaczone jest dla klastrów zalążkowych oraz klastrów wzrostowych na poziomie regionalnym.</w:t>
      </w:r>
      <w:r>
        <w:br/>
        <w:t>Obszar działalności klastra, na rzecz którego realizowane jest projekt jest zgodny z Regionalnymi Inteligentnymi Specjalizacjami województwa śląskiego lub z obszarami zidentyfikowanymi w ramach Procesu Przedsiębiorczego Odkrywania prowadzonego w województwie śląskim w zakresie świadczonych przez nich usług.</w:t>
      </w:r>
      <w:r>
        <w:br/>
        <w:t>Wsparcie przeznaczone jest dla funkcjonujących klastrów. Nie będzie finansowane wsparcie na zakładanie nowych klastrów.</w:t>
      </w:r>
      <w:r>
        <w:br/>
        <w:t xml:space="preserve">Działanie będzie realizowane z uwzględnieniem zasad horyzontalnych (zgodnie z art. 9 Rozporządzenia Parlamentu Europejskiego i Rady (UE) nr 2021/1060 z dnia 24 czerwca 2021 r.), a obowiązek ich stosowania wynika z Umowy Partnerstwa, programu oraz wytycznych. </w:t>
      </w:r>
      <w:r>
        <w:br/>
        <w:t>Preferowane warunki wsparcia:</w:t>
      </w:r>
      <w:r>
        <w:br/>
        <w:t>Premiowane będą inicjatywy klastrowe wdrażające polityki wyrównywania szans, zarządzania różnorodnością i zapobiegania dyskryminacji, począwszy od zmian instytucjonalnych (proces rekrutacji, procedury zapobiegające mobbingowi i molestowaniu, kwestie związane z godzeniem życia rodzinnego itp.), po włączanie zasady równości szans w obszarze świadczenia usług na rzecz przedsiębiorstw działających w klastrze (np. poprzez prowadzenie działań wzmacniających).</w:t>
      </w:r>
      <w:r>
        <w:br/>
        <w:t>Preferowana będzie również realizacja zielonych zamówień publicznych w oparciu o opracowane przez KE wspólne kryteria możliwe do stosowania w państwach członkowskich Unii.</w:t>
      </w:r>
      <w:r>
        <w:br/>
        <w:t>W celu maksymalizacji wpływu na realizację celów środowiskowo- klimatycznych UE, określonych w dokumencie Europejski Zielony Ład, premiowanie będą projekty, które mają istotny wkład w realizację jednego z sześciu celów środowiskowych określanych zgodnie z rozporządzeniem (UE) 2020/852.</w:t>
      </w:r>
    </w:p>
    <w:p w14:paraId="02C508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UE w projekcie</w:t>
      </w:r>
    </w:p>
    <w:p w14:paraId="02C508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8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8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8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8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08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8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17 kwietnia 2024 r. w sprawie udzielania pomocy de minimis w ramach regionalnych programów na lata 2021–2027 (Dz.U. 2024 poz. 598)</w:t>
      </w:r>
    </w:p>
    <w:p w14:paraId="02C508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8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8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8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8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8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8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8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8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8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8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8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Przedsiębiorstwa</w:t>
      </w:r>
    </w:p>
    <w:p w14:paraId="02C508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8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otoczenia biznesu, Izby gospodarcze, Jednostki naukowe, Jednostki Samorządu Terytorialnego, Klastry, MŚP, Organizacje badawcze, Organizacje pozarządowe, Ośrodki innowacji, Uczelnie</w:t>
      </w:r>
    </w:p>
    <w:p w14:paraId="02C508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8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IOB, klastry, RIS</w:t>
      </w:r>
    </w:p>
    <w:p w14:paraId="02C508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8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Nie dotyczy, Średnie</w:t>
      </w:r>
    </w:p>
    <w:p w14:paraId="02C508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8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8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8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WLWK-PLRO164 - Liczba imprez targowo-wystawienniczych, w których beneficjent brał udział jako wystawca</w:t>
      </w:r>
    </w:p>
    <w:p w14:paraId="02C508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WLWK-PLRO162 - Liczba przedsiębiorstw wspartych w zakresie internacjonalizacji działalności</w:t>
      </w:r>
    </w:p>
    <w:p w14:paraId="02C508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02C508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WLWK-PLRO018 - Liczba wspartych klastrów</w:t>
      </w:r>
    </w:p>
    <w:p w14:paraId="02C508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08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08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08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WLWK-RCO101 - MŚP inwestujące w umiejętności w zakresie inteligentnej specjalizacji, transformacji przemysłowej i przedsiębiorczości</w:t>
      </w:r>
    </w:p>
    <w:p w14:paraId="02C508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WLWK-RCO004 - Przedsiębiorstwa otrzymujące wsparcie niefinansowe</w:t>
      </w:r>
    </w:p>
    <w:p w14:paraId="02C508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8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WLWK-PLRR008 - Liczba przedsiębiorstw zaangażowanych we wsparte klastry</w:t>
      </w:r>
    </w:p>
    <w:p w14:paraId="02C508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WLWK-RCR098 - Pracownicy MŚP kończący szkolenia w zakresie rozwoju umiejętności w zakresie inteligentnej specjalizacji, transformacji przemysłowej i przedsiębiorczości (według rodzaju umiejętności: techniczne, zarzadzanie, przedsiębiorczość, ekologiczne, inne)</w:t>
      </w:r>
    </w:p>
    <w:p w14:paraId="02C508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8D3"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 w:name="_Toc235079748"/>
      <w:r>
        <w:rPr>
          <w:rFonts w:ascii="Calibri" w:hAnsi="Calibri" w:cs="Calibri"/>
          <w:sz w:val="32"/>
        </w:rPr>
        <w:t>Działanie FESL.01.08 Innowacje cyfrowe w MŚP</w:t>
      </w:r>
      <w:bookmarkEnd w:id="10"/>
    </w:p>
    <w:p w14:paraId="02C508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8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EFRR.CP1.III - Wzmacnianie trwałego wzrostu i konkurencyjności MŚP oraz tworzenie miejsc pracy w MŚP, w tym poprzez inwestycje produkcyjne</w:t>
      </w:r>
    </w:p>
    <w:p w14:paraId="02C508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08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 Centrum Przedsiębiorczości</w:t>
      </w:r>
    </w:p>
    <w:p w14:paraId="02C508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8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9 723 530,00</w:t>
      </w:r>
    </w:p>
    <w:p w14:paraId="02C508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8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9 723 530,00</w:t>
      </w:r>
    </w:p>
    <w:p w14:paraId="02C508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8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027 - Procesy innowacji w MŚP (innowacje w zakresie procesów, organizacji, marketingu, i współtworzenia, innowacje zorientowane na użytkownika i motywowane popytem), 172 - Finansowanie krzyżowe w ramach EFRR (wsparcie dla działań typowych dla EFS+ koniecznych do wdrożenia części operacji objętej EFRR i bezpośrednio z nią związanych)</w:t>
      </w:r>
    </w:p>
    <w:p w14:paraId="02C508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8DF" w14:textId="3F7C5098"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Głównym celem działania jest wprowadzenie wysokospecjalistycznych rozwiązań cyfrowych w przedsiębiorstwach z kategorii MŚP. W wyniku realizacji projektu będą mogły one wprowadzić procesy związane z cyfryzacją i automatyzacją procesów biznesowych. </w:t>
      </w:r>
      <w:r>
        <w:br/>
        <w:t>Podmiotami uprawnionymi do otrzymania wsparcia w ramach przedmiotowego działania będą mikro, małe i średnie przedsiębiorstwa. Podmioty te muszą realizować i utrzymać w okresie trwałości projekt na terenie Województwa Śląskiego.</w:t>
      </w:r>
      <w:r w:rsidR="002D509E">
        <w:t xml:space="preserve"> </w:t>
      </w:r>
      <w:r>
        <w:t xml:space="preserve">W celu zapewnienia, że udzielone wsparcie będzie służyło rozwojowi Województwa Śląskiego, przedsiębiorstwo musi prowadzić działalność gospodarczą na terenie Województwa Śląskiego na dzień podpisania umowy o dofinansowanie – weryfikacja będzie się odbywać na podstawie wpisu do CEIDG/KRS na dzień podpisania umowy o dofinansowanie. </w:t>
      </w:r>
      <w:r>
        <w:br/>
      </w:r>
      <w:r>
        <w:br/>
        <w:t>Beneficjent ma obowiązek zastosowania zasady n+1 w odniesieniu do okresu realizacji projektów. Oznacza to, że od chwili podpisania umowy o dofinansowanie Beneficjent musi zrealizować projekt ujęty we wniosku o dofinansowanie w ciągu jednego roku. W szczególnych przypadkach Instytucja Organizująca Nabór może wyrazić zgodę na wydłużenie terminu realizacji projektu z uwzględnieniem możliwego maksymalnego terminu ponoszenia wydatków kwalifikowalnych.</w:t>
      </w:r>
      <w:r>
        <w:br/>
      </w:r>
      <w:r>
        <w:br/>
        <w:t xml:space="preserve">Działanie jest skierowane do przedsiębiorstw produkcyjnych, jak i usługowych, z możliwością preferencji projektów realizowanych przez przedsiębiorstwa produkcyjne. </w:t>
      </w:r>
      <w:r>
        <w:br/>
        <w:t xml:space="preserve">Dofinansowaniu mogą podlegać inwestycje w rzeczowe aktywa trwałe, wartości niematerialne i prawne. Dodatkowo przewiduje się wsparcie w zakresie podnoszenia kompetencji pracowników, które są niezbędne do realizacji i utrzymania inwestycji ujętej we wniosku, a także w zakresie usług doradczych. </w:t>
      </w:r>
      <w:r>
        <w:br/>
        <w:t>Przedsiębiorstwa aplikujące w ramach naboru muszą nieprzerwanie funkcjonować na moment złożenia wniosku na rynku co najmniej 3 lata. Data rozpoczęcia działalności gospodarczej wynika z wpisu do CEIDG lub z dokumentu potwierdzającego formę prawną przedsiębiorstwa.</w:t>
      </w:r>
      <w:r>
        <w:br/>
      </w:r>
      <w:r w:rsidR="002D509E">
        <w:t xml:space="preserve"> </w:t>
      </w:r>
      <w:r>
        <w:br/>
        <w:t>W ramach działania wspierane będą inwestycje mające na celu wprowadzenie zasadniczej zmiany procesu produkcyjnego poprzez nabycie wysokospecjalistycznych narzędzi ICT.</w:t>
      </w:r>
      <w:r>
        <w:br/>
        <w:t xml:space="preserve">Jako element każdej inwestycji możliwe jest także wdrożenie rozwiązań podnoszących poziom cyberbezpieczeństwa danego podmiotu, w szczególności nabycie niezbędnych narzędzi informatycznych </w:t>
      </w:r>
      <w:r>
        <w:lastRenderedPageBreak/>
        <w:t>wraz z oprogramowaniem. Nie ma możliwości wsparcia projektów dotyczących wyłącznie cyberbezpieczeństwa</w:t>
      </w:r>
      <w:r>
        <w:br/>
        <w:t>.</w:t>
      </w:r>
      <w:r>
        <w:br/>
        <w:t>W ramach działania nie przewidziano wsparcia dla projektów realizowanych w ramach partnerstwa.</w:t>
      </w:r>
      <w:r>
        <w:br/>
      </w:r>
      <w:r>
        <w:br/>
        <w:t>W ramach działania wsparcie nie będzie udzielane na inwestycję w infrastrukturę szerokopasmową.</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p>
    <w:p w14:paraId="02C508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8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8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8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8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8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8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8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11 października 2022 r. w sprawie udzielania regionalnej pomocy inwestycyjnej w ramach programów regionalnych na lata 2021–2027 (Dz. U. z 2026 r., poz. 916), 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17 kwietnia 2024 r. w sprawie udzielania pomocy de minimis w ramach regionalnych programów na lata 2021–2027 (Dz.U. 2024 poz. 598)</w:t>
      </w:r>
    </w:p>
    <w:p w14:paraId="02C508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8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8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8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Dotacja</w:t>
      </w:r>
    </w:p>
    <w:p w14:paraId="02C508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8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8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8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8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8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8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8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Przedsiębiorstwa</w:t>
      </w:r>
    </w:p>
    <w:p w14:paraId="02C508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8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MŚP</w:t>
      </w:r>
    </w:p>
    <w:p w14:paraId="02C508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8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cyberbezpieczeństwo, cyfryzacja, produkcja, TIK</w:t>
      </w:r>
    </w:p>
    <w:p w14:paraId="02C508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8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Mikro, Średnie</w:t>
      </w:r>
    </w:p>
    <w:p w14:paraId="02C508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8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8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8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WLWK-PLRO009 - Liczba przedsiębiorstw otrzymujących wsparcie w zakresie technologii cyfrowych</w:t>
      </w:r>
    </w:p>
    <w:p w14:paraId="02C508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08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09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09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02C509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9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WLWK-PLRR030 - Liczba wprowadzonych innowacji marketingowych</w:t>
      </w:r>
    </w:p>
    <w:p w14:paraId="02C509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WLWK-PLRR031 - Liczba wprowadzonych innowacji organizacyjnych</w:t>
      </w:r>
    </w:p>
    <w:p w14:paraId="02C509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WLWK-PLRR029 - Liczba wprowadzonych innowacji procesowych</w:t>
      </w:r>
    </w:p>
    <w:p w14:paraId="02C509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WLWK-PLRR028 - Liczba wprowadzonych innowacji produktowych</w:t>
      </w:r>
    </w:p>
    <w:p w14:paraId="02C509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WLWK-PLRR025 - Małe i średnie przedsiębiorstwa (MŚP) wprowadzające innowacje procesowe</w:t>
      </w:r>
    </w:p>
    <w:p w14:paraId="02C509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WLWK-PLRR024 - Małe i średnie przedsiębiorstwa (MŚP) wprowadzające innowacje produktowe</w:t>
      </w:r>
    </w:p>
    <w:p w14:paraId="02C509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WLWK-RCR001 - Miejsca pracy utworzone we wspieranych jednostkach</w:t>
      </w:r>
    </w:p>
    <w:p w14:paraId="02C509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WLWK-PLRR026 - MŚP wprowadzające innowacje marketingowe</w:t>
      </w:r>
    </w:p>
    <w:p w14:paraId="02C509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WLWK-PLRR027 - MŚP wprowadzające innowacje organizacyjne</w:t>
      </w:r>
    </w:p>
    <w:p w14:paraId="02C509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09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PROG-FESLR-15 - Liczba nowych/ulepszonych produktów/usług </w:t>
      </w:r>
    </w:p>
    <w:p w14:paraId="02C509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90F"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 w:name="_Toc235079749"/>
      <w:r>
        <w:rPr>
          <w:rFonts w:ascii="Calibri" w:hAnsi="Calibri" w:cs="Calibri"/>
          <w:sz w:val="32"/>
        </w:rPr>
        <w:t>Działanie FESL.01.09 Konkurencyjność przedsiębiorstw (IF)</w:t>
      </w:r>
      <w:bookmarkEnd w:id="11"/>
    </w:p>
    <w:p w14:paraId="02C509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9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EFRR.CP1.III - Wzmacnianie trwałego wzrostu i konkurencyjności MŚP oraz tworzenie miejsc pracy w MŚP, w tym poprzez inwestycje produkcyjne</w:t>
      </w:r>
    </w:p>
    <w:p w14:paraId="02C509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9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100 000 000,00</w:t>
      </w:r>
    </w:p>
    <w:p w14:paraId="02C509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9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85 000 000,00</w:t>
      </w:r>
    </w:p>
    <w:p w14:paraId="02C509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9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021 - Rozwój działalności i umiędzynarodowienie MŚP, w tym inwestycje produkcyjne</w:t>
      </w:r>
    </w:p>
    <w:p w14:paraId="02C509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9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Realizacja działania zakłada powierzenie zadań jednemu Beneficjentowi zgodnie z art. 59, ust 3 rozporządzenia ramowego nr 2021/1060 z dnia 24 czerwca 2021 r., który będzie wdrażał instrument finansowy pełniąc rolę Funduszu Powierniczego. Beneficjent dokona wyboru podmiotów finansowych, które w roli funduszy szczegółowych będą udzielały wsparcia odbiorcom ostatecznym.</w:t>
      </w:r>
      <w:r>
        <w:br/>
        <w:t>Ostateczni odbiorcy wsparcia to przedsiębiorstwa MŚP oraz small mid-caps (czyli mała spółka o średniej kapitalizacji) i mid-caps (czyli spółka o średniej kapitalizacji). Definicja MŚP znajduje się w Rozporządzeniu Komisji (UE) nr 651/2014. Definicja małej spółki o średniej kapitalizacji znajduje się w Rozporządzeniach: Rozporządzenie Komisji (UE) nr 651/2014 oraz Rozporządzenie Parlamentu Europejskiego i Rady (UE) 2015/1017. Definicja spółki o średniej kapitalizacji znajduje się w Rozporządzeniu Parlamentu Europejskiego i Rady (UE) 2015/1017.</w:t>
      </w:r>
      <w:r>
        <w:br/>
        <w:t xml:space="preserve">Wsparcie będzie oferowane na terenie całego województwa śląskiego. </w:t>
      </w:r>
      <w:r>
        <w:br/>
        <w:t xml:space="preserve">Pożyczka będzie oferowana na warunkach rynkowych lub korzystniejszych niż rynkowe. Szczegółowy zakres oraz warunki wsparcia będą doprecyzowane w Strategii Inwestycyjnej oraz w metryce produktu finansowego. </w:t>
      </w:r>
      <w:r>
        <w:br/>
        <w:t xml:space="preserve">Wspierane będą inwestycje w MŚP oraz small mid-caps i mid-caps przyczyniające się do poprawy i podnoszenia konkurencyjności firm działających w regionie. </w:t>
      </w:r>
      <w:r>
        <w:br/>
      </w:r>
      <w:r>
        <w:lastRenderedPageBreak/>
        <w:t>Wsparciem objęte zostaną m.in. inwestycje:</w:t>
      </w:r>
      <w:r>
        <w:br/>
        <w:t>•</w:t>
      </w:r>
      <w:r>
        <w:tab/>
        <w:t>związane z dostosowaniem lub zmianą profilu prowadzonej działalności gospodarczej oraz modelu biznesowego,</w:t>
      </w:r>
      <w:r>
        <w:br/>
        <w:t>•</w:t>
      </w:r>
      <w:r>
        <w:tab/>
        <w:t>w infrastrukturę turystyczną oraz okołoturystyczną i rekreacyjną,</w:t>
      </w:r>
      <w:r>
        <w:br/>
        <w:t>•</w:t>
      </w:r>
      <w:r>
        <w:tab/>
        <w:t>niezbędne do wejścia na rynki zagraniczne oraz dostosowanie produktu do wymagań rynku docelowego, w tym również koszty związane z udziałem w targach zagranicznych stacjonarnie oraz on-line.</w:t>
      </w:r>
      <w:r>
        <w:br/>
        <w:t>Wsparcie z instrumentów finansowych może być udzielone na:</w:t>
      </w:r>
      <w:r>
        <w:br/>
        <w:t>a) inwestycje w rzeczowe aktywa trwałe,</w:t>
      </w:r>
      <w:r>
        <w:br/>
        <w:t>b) inwestycje w wartości niematerialne i prawne,</w:t>
      </w:r>
      <w:r>
        <w:br/>
        <w:t>c) kapitał obrotowy,</w:t>
      </w:r>
      <w:r>
        <w:br/>
        <w:t>pod warunkiem, że są one finansowo wykonalne i nie uzyskują wystarczającego finansowania ze źródeł rynkowych.</w:t>
      </w:r>
      <w:r>
        <w:br/>
        <w:t xml:space="preserve">Wsparcie udzielane jest wyłącznie na te elementy inwestycji, które nie są fizycznie ukończone lub w pełni wdrożone w dniu podjęcia decyzji inwestycyjnej. </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p>
    <w:p w14:paraId="02C509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9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9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9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9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9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9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9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Ministra Funduszy i Polityki Regionalnej z dnia 17 kwietnia 2024 r. w sprawie udzielania pomocy de minimis w ramach regionalnych programów na lata 2021–2027 (Dz.U. 2024 poz. 598), Rozporządzenie Ministra Funduszy i Polityki Regionalnej z dnia 7 października 2022 r. w sprawie udzielania regionalnej pomocy inwestycyjnej w ramach celu polityki CP1 (iii) w zakresie wzmacniania trwałego wzrostu i konkurencyjności mikroprzedsiębiorców, małych i średnich przedsiębiorców oraz </w:t>
      </w:r>
      <w:r>
        <w:lastRenderedPageBreak/>
        <w:t>tworzenia miejsc pracy w mikroprzedsiębiorstwach, małych i średnich przedsiębiorstwach, w tym poprzez inwestycje produkcyjne w ramach regionalnych programów na lata 2021–2027 (Dz.U. 2024 poz. 1642)</w:t>
      </w:r>
    </w:p>
    <w:p w14:paraId="02C509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9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02C509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9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Wsparcie poprzez instrumenty finansowe: pożyczka</w:t>
      </w:r>
    </w:p>
    <w:p w14:paraId="02C509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9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9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9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09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9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9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9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w:t>
      </w:r>
    </w:p>
    <w:p w14:paraId="02C509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9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w:t>
      </w:r>
    </w:p>
    <w:p w14:paraId="02C509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9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model_biznesowy, pożyczka_na_rozwój, pożyczki_dla_przedsiębiorstw, promocja_regionu, turystyka</w:t>
      </w:r>
    </w:p>
    <w:p w14:paraId="02C509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9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9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9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02C509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09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09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09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WLWK-RCO003 - Przedsiębiorstwa objęte wsparciem z instrumentów finansowych</w:t>
      </w:r>
    </w:p>
    <w:p w14:paraId="02C509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9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09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WLWK-PLRR003 - Wartość inwestycji prywatnych uzupełniających wsparcie publiczne – instrumenty finansowe</w:t>
      </w:r>
    </w:p>
    <w:p w14:paraId="02C509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93E"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2" w:name="_Toc235079750"/>
      <w:r>
        <w:rPr>
          <w:rFonts w:ascii="Calibri" w:hAnsi="Calibri" w:cs="Calibri"/>
          <w:sz w:val="32"/>
        </w:rPr>
        <w:t>Działanie FESL.01.10 Promocja eksportu i internacjonalizacja MŚP</w:t>
      </w:r>
      <w:bookmarkEnd w:id="12"/>
    </w:p>
    <w:p w14:paraId="02C509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9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EFRR.CP1.III - Wzmacnianie trwałego wzrostu i konkurencyjności MŚP oraz tworzenie miejsc pracy w MŚP, w tym poprzez inwestycje produkcyjne</w:t>
      </w:r>
    </w:p>
    <w:p w14:paraId="02C509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09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 Centrum Przedsiębiorczości</w:t>
      </w:r>
    </w:p>
    <w:p w14:paraId="02C509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9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22 722 002,00</w:t>
      </w:r>
    </w:p>
    <w:p w14:paraId="02C509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9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21 476 470,00</w:t>
      </w:r>
    </w:p>
    <w:p w14:paraId="02C509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9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021 - Rozwój działalności i umiędzynarodowienie MŚP, w tym inwestycje produkcyjne</w:t>
      </w:r>
    </w:p>
    <w:p w14:paraId="02C509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94A" w14:textId="208D524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promocja gospodarcza eksportu poprzez wzmocnienie i rozwój procesów internacjonalizacji przedsiębiorstw sektora MŚP, funkcjonujących na obszarze województwa śląskiego.</w:t>
      </w:r>
      <w:r>
        <w:br/>
        <w:t>W ramach Działania realizowane będzie wsparcie przedsiębiorstw w zakresie rozwijania i wzmacniania działalności eksportowej poprzez dostarczenie narzędzi oraz specjalistycznej wiedzy. Działanie ma na celu objęcie przedsiębiorców sektora MŚP programem rozwoju działalności eksportowej poprzez umożliwienie wybrania indywidualnej ścieżki wsparcia merytorycznego lub skorzystania z konkretnych usług, które będą odpowiadały ich zidentyfikowanym potrzebom. Przedsiębiorcy z sektora MŚP będą mieli możliwość skorzystania z usług pozwalających na opracowanie modelu internacjonalizacji,</w:t>
      </w:r>
      <w:r w:rsidR="002D509E">
        <w:t xml:space="preserve"> </w:t>
      </w:r>
      <w:r>
        <w:t>skorzystanie z usług doradców zagranicznych, z oferty spotkań informacyjnych, warsztatów eksportowych, Akademii Internacjonalizacji, uczestnictwa w targach branżowych targach zagranicznych lub krajowych o charakterze międzynarodowym i w misjach gospodarczych zapewniających widoczność działalności sektora MŚP na rynkach międzynarodowych, otrzymania bonów eksportowych, które będą mogły zostać wykorzystane na potrzeby internacjonalizacji działalności danego przedsiębiorstwa, a także możliwość skorzystania z usług informacyjnych zapewniających widoczność działań na rynkach międzynarodowych.</w:t>
      </w:r>
      <w:r>
        <w:br/>
        <w:t>W ramach Działania wsparcie przedsiębiorcom udzielane będzie wyłącznie w oparciu o pomoc de minimis.</w:t>
      </w:r>
      <w:r w:rsidR="002D509E">
        <w:t xml:space="preserve"> </w:t>
      </w:r>
      <w:r>
        <w:br/>
      </w:r>
      <w:r>
        <w:lastRenderedPageBreak/>
        <w:t>Beneficjent od chwili podpisania umowy o dofinansowanie/wydania decyzji o dofinansowaniu musi zrealizować projekt ujęty we wniosku o dofinansowanie w terminie nie późniejszym niż 31 grudnia 2029 r.</w:t>
      </w:r>
      <w:r>
        <w:br/>
        <w:t xml:space="preserve">Działanie będzie realizowane z uwzględnieniem zasad horyzontalnych (zgodnie z art. 9 Rozporządzenia Parlamentu Europejskiego i Rady (UE) nr 2021/1060 z dnia 24 czerwca 2021 r.), a obowiązek ich stosowania wynika z Umowy Partnerstwa, programu oraz wytycznych. </w:t>
      </w:r>
      <w:r>
        <w:br/>
      </w:r>
    </w:p>
    <w:p w14:paraId="02C509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9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9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9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2C509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9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02C509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9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02C509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9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9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9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9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9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9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9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09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9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9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9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wspierające biznes</w:t>
      </w:r>
    </w:p>
    <w:p w14:paraId="02C509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9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otoczenia biznesu, Jednostki Samorządu Terytorialnego</w:t>
      </w:r>
    </w:p>
    <w:p w14:paraId="02C509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9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internacjonalizacja</w:t>
      </w:r>
    </w:p>
    <w:p w14:paraId="02C509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9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9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9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WLWK-PLRO162 - Liczba przedsiębiorstw wspartych w zakresie internacjonalizacji działalności</w:t>
      </w:r>
    </w:p>
    <w:p w14:paraId="02C509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WLWK-PLRO016 - Liczba wspartych przedsięwzięć informacyjno-promocyjnych o charakterze krajowym</w:t>
      </w:r>
    </w:p>
    <w:p w14:paraId="02C509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WLWK-PLRO017 - Liczba wspartych przedsięwzięć informacyjno-promocyjnych o charakterze międzynarodowym</w:t>
      </w:r>
    </w:p>
    <w:p w14:paraId="02C509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WLWK-RCO004 - Przedsiębiorstwa otrzymujące wsparcie niefinansowe</w:t>
      </w:r>
    </w:p>
    <w:p w14:paraId="02C509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PROG-FESLO-12 - Liczba wspartych przedsięwzięć informacyjno-promocyjnych</w:t>
      </w:r>
    </w:p>
    <w:p w14:paraId="02C509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PROG-FESLO-11 - Liczba wspartych przedsięwzięć o charakterze międzynarodowym</w:t>
      </w:r>
    </w:p>
    <w:p w14:paraId="02C509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9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02C509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PROG-FESLR-08 - Liczba przedsiębiorstw korzystających z usług wsparcia eksportu</w:t>
      </w:r>
    </w:p>
    <w:p w14:paraId="02C509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PROG-FESLR-07 - Liczba przedsiębiorstw otrzymujących wsparcie finansowe (bony)</w:t>
      </w:r>
    </w:p>
    <w:p w14:paraId="02C509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0971"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3" w:name="_Toc235079751"/>
      <w:r>
        <w:rPr>
          <w:rFonts w:ascii="Calibri" w:hAnsi="Calibri" w:cs="Calibri"/>
          <w:i w:val="0"/>
          <w:sz w:val="32"/>
        </w:rPr>
        <w:t>Priorytet FESL.02 Fundusze Europejskie na zielony rozwój</w:t>
      </w:r>
      <w:bookmarkEnd w:id="13"/>
    </w:p>
    <w:p w14:paraId="02C509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09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09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09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02C509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09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w:t>
      </w:r>
      <w:r>
        <w:lastRenderedPageBreak/>
        <w:t>klimatu i przystosowania się do nich, zapobiegania ryzyku i zarządzania ryzykiem, oraz zrównoważonej mobilności miejskiej</w:t>
      </w:r>
    </w:p>
    <w:p w14:paraId="02C509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09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09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09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547 948 451,00</w:t>
      </w:r>
    </w:p>
    <w:p w14:paraId="02C509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09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511 176 942,00</w:t>
      </w:r>
    </w:p>
    <w:p w14:paraId="02C509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09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9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09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09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09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9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985"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4" w:name="_Toc235079752"/>
      <w:r>
        <w:rPr>
          <w:rFonts w:ascii="Calibri" w:hAnsi="Calibri" w:cs="Calibri"/>
          <w:sz w:val="32"/>
        </w:rPr>
        <w:t>Działanie FESL.02.01 Efektywność energetyczna budynków użyteczności publicznej</w:t>
      </w:r>
      <w:bookmarkEnd w:id="14"/>
    </w:p>
    <w:p w14:paraId="02C509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9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02C509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9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27 545 491,00</w:t>
      </w:r>
    </w:p>
    <w:p w14:paraId="02C509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9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27 545 491,00</w:t>
      </w:r>
    </w:p>
    <w:p w14:paraId="02C509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9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 046 - Wsparcie dla podmiotów, </w:t>
      </w:r>
      <w:r>
        <w:lastRenderedPageBreak/>
        <w:t>które świadczą usługi wspierające gospodarkę niskoemisyjną i odporność na zmiany klimatu, w tym działania w zakresie zwiększania świadomości</w:t>
      </w:r>
    </w:p>
    <w:p w14:paraId="02C509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98F" w14:textId="47B5D18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projektu:</w:t>
      </w:r>
      <w:r>
        <w:br/>
        <w:t>1. Modernizacja energetyczna budynków użyteczności publicznej, w tym budynków zabytkowych.</w:t>
      </w:r>
      <w:r>
        <w:br/>
        <w:t>2. Działania edukacyjne związane z poprawą efektywności energetycznej.</w:t>
      </w:r>
      <w:r>
        <w:br/>
      </w:r>
      <w:r>
        <w:br/>
        <w:t>Wsparciem objęte zostanie:</w:t>
      </w:r>
      <w:r>
        <w:br/>
        <w:t>1.</w:t>
      </w:r>
      <w:r>
        <w:tab/>
        <w:t>Głęboka i kompleksowa modernizacja energetyczna budynków użyteczności publicznej, w tym budynków zabytkowych; głęboka modernizacja rozumiana jako modernizacja budynku wynikająca z optymalnego wariantu zawartego w audycie energetycznym.</w:t>
      </w:r>
      <w:r>
        <w:br/>
        <w:t xml:space="preserve">W ramach inwestycji w budynku, gdzie przeprowadzana jest modernizacja energetyczna wynikająca z audytu energetycznego, możliwe będzie uzyskanie wsparcia na następujące działania: </w:t>
      </w:r>
      <w:r>
        <w:br/>
        <w:t xml:space="preserve">– instalacja urządzeń wykorzystujących OZE wraz z magazynem energii; </w:t>
      </w:r>
      <w:r>
        <w:br/>
        <w:t xml:space="preserve">– wymiana/modernizacja źródeł ciepła lub podłączenie do sieci ciepłowniczej/chłodniczej - zgodnie z hierarchią wymiany źródeł ciepła; </w:t>
      </w:r>
      <w:r>
        <w:br/>
        <w:t>– wymiana/modernizacja instalacji CO i CWU;</w:t>
      </w:r>
      <w:r>
        <w:br/>
        <w:t>– wymiana oświetlenia na energooszczędne (w tym systemy zarządzania oświetleniem obiektu);</w:t>
      </w:r>
      <w:r>
        <w:br/>
        <w:t>– przebudowa systemów wentylacji i klimatyzacji;</w:t>
      </w:r>
      <w:r>
        <w:br/>
        <w:t>– innowacyjne systemy do monitorowania i zużycia energii oraz inteligentne rozwiązania ograniczające zużycie energii.</w:t>
      </w:r>
      <w:r>
        <w:br/>
        <w:t>Dopuszcza się finansowanie elementów Europejskiego Zielonego Ładu oraz rozwiązań na rzecz GOZ (zakres nie musi wynikać z audytu, limit: 15% kosztów kwalifikowanych).</w:t>
      </w:r>
      <w:r w:rsidR="002D509E">
        <w:t xml:space="preserve"> </w:t>
      </w:r>
      <w:r>
        <w:br/>
        <w:t>2. Działania edukacyjno-informacyjne, doradcze, podnoszące świadomość i wiedzę w zakresie efektywności energetycznej i wykorzystania OZE oraz zmierzające do zwiększenia świadomości i poziomu akceptacji społecznej dla polityki neutralności klimatycznej UE, w tym działania wspierające wykonanie zapisów uchwały antysmogowej, w ramach projektu modernizacji budynku.</w:t>
      </w:r>
      <w:r>
        <w:br/>
      </w:r>
      <w:r>
        <w:br/>
        <w:t>Możliwa jest realizacja przedsięwzięć z partnerami mającymi siedzibę poza województwem śląskim.</w:t>
      </w:r>
      <w:r>
        <w:br/>
      </w:r>
      <w:r>
        <w:br/>
        <w:t>Obligatoryjne warunki wsparcia:</w:t>
      </w:r>
      <w:r>
        <w:br/>
        <w:t>1.</w:t>
      </w:r>
      <w:r w:rsidR="002D509E">
        <w:t xml:space="preserve"> </w:t>
      </w:r>
      <w:r>
        <w:t>Przewiduje się wsparcie dla obszarów strategicznej interwencji o znaczeniu krajowym, wskazanych w Krajowej Strategii Rozwoju Regionalnego stąd pulę środków OSI dedykuje się dla:</w:t>
      </w:r>
      <w:r>
        <w:br/>
        <w:t xml:space="preserve"> – miast średnich tracących funkcje społeczno-gospodarcze, tj. Bytom, Piekary Śląskie, Siemianowice Śląskie, Sosnowiec;</w:t>
      </w:r>
      <w:r>
        <w:br/>
        <w:t xml:space="preserve"> – obszarów zagrożonych trwałą marginalizacją, tj. Koniecpol, Irządze, Rajcza, Ujsoły.</w:t>
      </w:r>
      <w:r>
        <w:br/>
        <w:t>2.</w:t>
      </w:r>
      <w:r w:rsidR="002D509E">
        <w:t xml:space="preserve"> </w:t>
      </w:r>
      <w:r>
        <w:t>Przewiduje się wsparcie dla jednostek organizacyjnych Województwa Śląskiego i spółek z udziałem Województwa Śląskiego.</w:t>
      </w:r>
      <w:r>
        <w:br/>
        <w:t xml:space="preserve">3. Możliwe będzie również wsparcie dla przedsięwzięć odpowiadających potrzebom lokalnym w uzgodnieniu z Lokalnymi Grupami Działania. Weryfikacja zgodności projektu z celami strategii rozwoju </w:t>
      </w:r>
      <w:r>
        <w:lastRenderedPageBreak/>
        <w:t xml:space="preserve">lokalnego kierowanego przez społeczność (LSR) nastąpi na podstawie potwierdzenia wystawionego przez Lokalną Grupę Działania. Wsparcie oferowane będzie dla projektów realizowanych na obszarze ww. strategii realizowanej w ramach umowy o warunkach i sposobie realizacji strategii rozwoju lokalnego kierowanego przez społeczność lokalną zawartej z Zarządem Województwa Śląskiego. </w:t>
      </w:r>
      <w:r>
        <w:br/>
        <w:t>4.</w:t>
      </w:r>
      <w:r w:rsidR="002D509E">
        <w:t xml:space="preserve"> </w:t>
      </w:r>
      <w:r>
        <w:t>Dofinansowanie uzyskają budynki użyteczności publicznej, których właścicielem jest samorząd terytorialny oraz podległe mu organy i jednostki organizacyjne oraz jednostki zarządzane przez jst, a także budynki użyteczności publicznej nie związane z administracją rządową oraz budynki należące do podmiotów uprawnionych do wykonywania ratownictwa górskiego, z zastrzeżeniem pkt 5.</w:t>
      </w:r>
      <w:r w:rsidR="002D509E">
        <w:t xml:space="preserve"> </w:t>
      </w:r>
      <w:r>
        <w:br/>
        <w:t>5.</w:t>
      </w:r>
      <w:r w:rsidR="002D509E">
        <w:t xml:space="preserve"> </w:t>
      </w:r>
      <w:r>
        <w:t xml:space="preserve">Wsparciem nie zostaną objęte budynki związane z administracją rządową tj. budynki, których właścicielem lub użytkownikiem jest organ władzy publicznej zarządzany centralnie, w tym państwowa jednostka budżetowa, jednostka administracji rządowej, podległy jej organ lub jednostka organizacyjna, a także państwowa osoba prawna (w rozumieniu ustawy z dnia 16 grudnia 2016 r. o zasadach zarządzania mieniem państwowym). Dopuszcza się możliwość wsparcia budynku użytkowanego przez organ władzy publicznej zarządzany centralnie w przypadku, gdy właścicielem budynku jest inny podmiot wpisujący się w katalog beneficjentów i nie wyłączony żadnymi innymi zapisami, np. gdy właścicielem budynku jest jst, wówczas o wsparcie powinien wnioskować właściciel budynku. </w:t>
      </w:r>
      <w:r>
        <w:br/>
        <w:t>6.</w:t>
      </w:r>
      <w:r>
        <w:tab/>
        <w:t>Realizacja inwestycji na obszarze objętym Programem Ochrony Powietrza dla województwa śląskiego zgodnego z art. 23 dyrektywy 2008/50/WE oraz w zakresie zgodnym z uchwałą antysmogową.</w:t>
      </w:r>
      <w:r>
        <w:br/>
        <w:t>7.</w:t>
      </w:r>
      <w:r>
        <w:tab/>
        <w:t>Realizacja inwestycji na terenie gminy, której wskaźnik dochodów podatkowych (wskaźnik Gg)</w:t>
      </w:r>
      <w:r w:rsidR="002D509E">
        <w:t xml:space="preserve"> </w:t>
      </w:r>
      <w:r>
        <w:t xml:space="preserve">jest niższy od uśrednionej wartości dla województwa - nie dotyczy budynków zabytkowych. </w:t>
      </w:r>
      <w:r>
        <w:br/>
        <w:t>8.</w:t>
      </w:r>
      <w:r>
        <w:tab/>
        <w:t>Brak wsparcia dla projektów z zakresu głębokiej modernizacji energetycznej zwiększających efektywność energetyczną (obliczaną dla energii pierwotnej) poniżej 30% liczonej dla każdego budynku w ramach projektu (warunek nie dotyczy budynków zabytkowych).</w:t>
      </w:r>
      <w:r>
        <w:br/>
        <w:t>9.</w:t>
      </w:r>
      <w:r>
        <w:tab/>
        <w:t>Projekty dotyczące wymiany źródła ciepła muszą być połączone z głęboką i kompleksową modernizacją energetyczną danego budynku.</w:t>
      </w:r>
      <w:r>
        <w:br/>
        <w:t>10.</w:t>
      </w:r>
      <w:r>
        <w:tab/>
        <w:t>W przypadku wymiany źródła ciepła należy przestrzegać poniższej hierarchii źródeł (z zastrzeżeniem punktu 11), tj.:</w:t>
      </w:r>
      <w:r>
        <w:br/>
        <w:t>10.1. odnawialne źródła energii,</w:t>
      </w:r>
      <w:r>
        <w:br/>
        <w:t xml:space="preserve">10.2. podłączenie do sieci ciepłowniczej, </w:t>
      </w:r>
      <w:r>
        <w:br/>
        <w:t xml:space="preserve">10.3. inne dopuszczalne źródła ciepła, tj. ogrzewanie elektryczne, gaz ziemny; nie jest dopuszczalna wymiana źródła ciepła na źródło zasilane węglem kamiennym, węglem brunatnym, torfem, łupkami bitumicznymi i olejem opałowym. </w:t>
      </w:r>
      <w:r>
        <w:br/>
        <w:t>11.</w:t>
      </w:r>
      <w:r>
        <w:tab/>
        <w:t>Dla naborów ogłaszanych od października 2024 r. brak wsparcia dla indywidualnych kotłów gazowych, za wyjątkiem hybrydowych systemów grzewczych tj. systemów opartych na integralnym połączeniu różnych urządzeń zasilanych OZE i gazem.</w:t>
      </w:r>
      <w:r w:rsidR="002D509E">
        <w:t xml:space="preserve"> </w:t>
      </w:r>
      <w:r>
        <w:t>Integralność polega na współdziałaniu oraz wspólnym i automatycznym sterowaniu różnymi źródłami ciepła, wchodzącymi w skład systemu (np. połączenie kotła gazowego z energią słoneczną termiczną lub pompą ciepła).</w:t>
      </w:r>
      <w:r>
        <w:br/>
        <w:t>12. Zakres i zasadność modernizacji energetycznej w projekcie musi wynikać z audytu energetycznego. Przed sporządzeniem audytu</w:t>
      </w:r>
      <w:r w:rsidR="002D509E">
        <w:t xml:space="preserve"> </w:t>
      </w:r>
      <w:r>
        <w:t>należy sporządzić/posiadać aktualne świadectwo charakterystyki energetycznej. Audyt energetyczny, sporządzony wg wzoru zamieszczonego w ogłoszeniu o naborze, powinien zostać przedłożony wraz z wnioskiem o dofinansowanie.</w:t>
      </w:r>
      <w:r>
        <w:br/>
        <w:t>Audyt energetyczny należy dołączyć w jednej z 2 form:</w:t>
      </w:r>
      <w:r>
        <w:br/>
      </w:r>
      <w:r>
        <w:lastRenderedPageBreak/>
        <w:t>•</w:t>
      </w:r>
      <w:r>
        <w:tab/>
        <w:t>audyt energetyczny sporządzony na szablonie (wzór załączony</w:t>
      </w:r>
      <w:r w:rsidR="002D509E">
        <w:t xml:space="preserve"> </w:t>
      </w:r>
      <w:r>
        <w:t>do Regulaminu) lub:</w:t>
      </w:r>
      <w:r>
        <w:br/>
        <w:t>•</w:t>
      </w:r>
      <w:r>
        <w:tab/>
        <w:t>aktualny audyt energetyczny sporządzony zgodnie z właściwymi przepisami</w:t>
      </w:r>
      <w:r w:rsidR="002D509E">
        <w:t xml:space="preserve"> </w:t>
      </w:r>
      <w:r>
        <w:t>wraz z wypełnioną kartą audytu energetycznego (wzór karty załączony do Regulaminu wyboru projektów) oraz świadectwo charakterystyki energetycznej dla budynku przed modernizacją energetyczną.</w:t>
      </w:r>
      <w:r>
        <w:br/>
        <w:t>Szablon audytu energetycznego oraz wzór karty audytu energetycznego zawierają również opracowany na potrzeby naboru podział na klasy energochłonności budynków.</w:t>
      </w:r>
      <w:r>
        <w:br/>
        <w:t>13.</w:t>
      </w:r>
      <w:r>
        <w:tab/>
        <w:t>W przypadku budynków zabytkowych (objętych ochroną konserwatora zabytków), zakres wsparcia powinien wynikać z audytu energetycznego uzgodnionego z właściwym konserwatorem zabytków.</w:t>
      </w:r>
      <w:r>
        <w:br/>
        <w:t>14.</w:t>
      </w:r>
      <w:r>
        <w:tab/>
        <w:t>Po zakończeniu realizacji projektu wymagane jest posiadanie dokumentu potwierdzającego wykonanie zakresu działań określonych w audycie.</w:t>
      </w:r>
      <w:r>
        <w:br/>
        <w:t>15.</w:t>
      </w:r>
      <w:r>
        <w:tab/>
        <w:t xml:space="preserve">Konieczne jest wykonanie ekspertyzy ornitologicznej i chiropterologicznej oraz zapewnienie odpowiedniej ochrony ptaków i nietoperzy. </w:t>
      </w:r>
      <w:r>
        <w:br/>
        <w:t>16.</w:t>
      </w:r>
      <w:r>
        <w:tab/>
        <w:t>Projekt jest zgodny z zasadą deinstytucjonalizacji.</w:t>
      </w:r>
      <w:r>
        <w:br/>
        <w:t>17.</w:t>
      </w:r>
      <w:r w:rsidR="002D509E">
        <w:t xml:space="preserve"> </w:t>
      </w:r>
      <w:r>
        <w:t>Uwzględnienie w projekcie działań edukacyjnych i świadomościowych wzmacniających walory ekologiczne projektu oraz zmierzających do zwiększenia świadomości i poziomu akceptacji społecznej dla polityki neutralności klimatycznej UE.</w:t>
      </w:r>
      <w:r>
        <w:br/>
        <w:t>18.</w:t>
      </w:r>
      <w:r w:rsidR="002D509E">
        <w:t xml:space="preserve"> </w:t>
      </w:r>
      <w:r>
        <w:t>Działanie będzie realizowane z uwzględnieniem zasad horyzontalnych (zgodnie z art. 9 Rozporządzenia Parlamentu Europejskiego i Rady (UE) nr 2021/1060 z dnia 24 czerwca 2021 r.), a obowiązek ich stosowania wynika z Umowy Partnerstwa, programu oraz wytycznych.</w:t>
      </w:r>
      <w:r>
        <w:br/>
        <w:t>19. 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Preferowane warunki wsparcia:</w:t>
      </w:r>
      <w:r>
        <w:br/>
        <w:t>Projekty kompleksowe, obejmujące również instalację urządzeń OZE.</w:t>
      </w:r>
      <w:r>
        <w:br/>
        <w:t>Projekty zakładające podłączenie do sieci ciepłowniczej.</w:t>
      </w:r>
      <w:r>
        <w:br/>
        <w:t>Projekty zwiększające w jak największym stopniu efektywność energetyczną.</w:t>
      </w:r>
      <w:r>
        <w:br/>
        <w:t>Projekty o jak największej efektywności kosztowej w powiązaniu z efektami oszczędnościowymi oraz redukcją gazów cieplarnianych.</w:t>
      </w:r>
      <w:r>
        <w:br/>
        <w:t>Projekty uwzględniające działania edukacyjne i świadomościowe – premiowanie zgodnie z kryterium.</w:t>
      </w:r>
      <w:r>
        <w:br/>
        <w:t>Projekty realizowane w partnerstwie publiczno-prywatnym (projekty hybrydowe, zgodnie z art. 40 ustawy o zasadach realizacji zadań ze środków europejskich finansowanych w perspektywie finansowej 2021-2027), w tym projekty ESCO.</w:t>
      </w:r>
      <w:r>
        <w:br/>
        <w:t>Realizacja w projekcie zielonych zamówień publicznych w oparciu o opracowane przez KE wspólne kryteria możliwe do stosowania w państwach członkowskich Unii.</w:t>
      </w:r>
      <w:r>
        <w:br/>
        <w:t>Wykorzystanie dobrych praktyk w zakresie ochrony środowiska, w szczególności standardów ochrony drzew.</w:t>
      </w:r>
      <w:r w:rsidR="002D509E">
        <w:t xml:space="preserve"> </w:t>
      </w:r>
      <w:r>
        <w:br/>
        <w:t>Zastosowane rozwiązania w zakresie obiegu cyrkularnego (w tym efektywności energetycznej i użycia energii z OZE), jak również elementy sprzyjające adaptacji do zmian klimatu (w szczególności zielona i niebieska infrastruktura).</w:t>
      </w:r>
      <w:r>
        <w:br/>
      </w:r>
      <w:r>
        <w:lastRenderedPageBreak/>
        <w:t xml:space="preserve">Wykorzystanie dobrych praktyk wynikających z projektów realizowanych z programów Interreg, LIFE+, Region Morza Bałtyckiego oraz Europa Środkowa związanych z transformacją energetyczną, szczególnie realizowanych w regionach transgranicznych Czech (Kraj Morawskośląski) i Słowacji (Kraj Żyliński). </w:t>
      </w:r>
      <w:r>
        <w:br/>
        <w:t>Projekty realizowane na Obszarach Strategicznej Interwencji, wskazanych w Strategii Województwa Śląskiego „Śląskie 2030”, w szczególności OSI Gminy z problemami środowiskowymi w zakresie jakości powietrza oraz OSI Obszary cenne przyrodniczo.</w:t>
      </w:r>
      <w:r>
        <w:br/>
        <w:t>Projekty realizujące założenia Nowego Europejskiego Bauhausu.</w:t>
      </w:r>
      <w:r>
        <w:br/>
        <w:t>Premiowane będą projekty, które mają istotny wkład w realizację jednego z sześciu celów środowiskowych określanych w rozporządzeniu (UE) 2020/852.</w:t>
      </w:r>
    </w:p>
    <w:p w14:paraId="02C509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9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9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9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9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9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9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9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w:t>
      </w:r>
      <w:r>
        <w:lastRenderedPageBreak/>
        <w:t>bezemisyjnych oraz na doposażenie pojazdów w ramach regionalnych programów na lata 2021–2027 (Dz.U. 2024 poz. 89),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09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9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9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9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9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9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9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9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9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9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9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9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Organizacje społeczne i związki wyznaniowe, Partnerstwa, Partnerzy społeczni, Przedsiębiorstwa realizujące cele publiczne, Służby publiczne</w:t>
      </w:r>
    </w:p>
    <w:p w14:paraId="02C509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9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Centra aktywności lokalnej, Inne podmioty systemu szkolnictwa wyższego i nauki, Instytucje integracji i pomocy społecznej, Instytucje kultury, Instytucje odpowiedzialne za gospodarkę wodną, Instytucje rynku pracy, Instytucje sportu, Izby Rolnicze, Jednostki organizacyjne działające w imieniu jednostek samorządu terytorialnego, Jednostki rządowe i samorządowe ochrony środowiska, Jednostki Samorządu Terytorialnego, Kluby sportowe, centra sportu, Kościoły i związki wyznaniowe, Lasy Państwowe, parki narodowe i krajobrazowe, Niepubliczne instytucje kultury, Niepubliczne instytucje sportu, Niepubliczne podmioty integracji i pomocy społecznej, Niepubliczne zakłady opieki zdrowotnej, Organizacje pozarządowe, Organizacje zrzeszające pracodawców, Organizatorzy i operatorzy publicznego transportu zbiorowego, Ośrodki kształcenia dorosłych, Partnerstwa instytucji pozarządowych, Partnerstwa Publiczno-Prywatne, Podmioty ekonomii społecznej, Podmioty świadczące usługi publiczne w ramach realizacji obowiązków własnych jednostek samorządu terytorialnego, Podmioty zarządzające terenami inwestycyjnymi, Policja, straż pożarna i służby ratownicze, Porty lotnicze, Pozarządowe organizacje </w:t>
      </w:r>
      <w:r>
        <w:lastRenderedPageBreak/>
        <w:t>turystyczne, Przedsiębiorstwa działające w zakresie transportu intermodalnego, Przedsiębiorstwa kolejowych przewozów pasażerskich, Przedsiębiorstwa kolejowych przewozów towarowych, Przedsiębiorstwa świadczące kompleksowe usługi sanatoryjne/uzdrowiskowe/zakłady lecznictwa uzdrowiskowego, Przedsiębiorstwa wodociągowo-kanalizacyjne, Przedszkola i inne formy wychowania przedszkolnego, Publiczne zakłady opieki zdrowotnej, Spółki wodne, Szkoły i inne placówki systemu oświaty, Uczelnie, Uzdrowiska, Wspólnoty, spółdzielnie mieszkaniowe, TBS i SIM, Zarządcy dróg publicznych, Zarządcy infrastruktury dworcowej , Zarządcy infrastruktury kolejowej, Zarządzający portami morskimi i wodnymi śródlądowymi, Związki zawodowe</w:t>
      </w:r>
    </w:p>
    <w:p w14:paraId="02C509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9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budynki_użyteczności_publicznej, modernizacja_energetyczna, ocieplenie_budynku, OZE, termomodernizacja</w:t>
      </w:r>
    </w:p>
    <w:p w14:paraId="02C509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9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09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9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9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9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02C509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02C509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02C509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9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WLWK-PLRO237 - Liczba powstałych magazynów energii cieplnej</w:t>
      </w:r>
    </w:p>
    <w:p w14:paraId="02C509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02C509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9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9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02C509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02C509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02C509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02C509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02C509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02C509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WLWK-PLRO025 - Liczba zmodernizowanych źródeł ciepła (innych niż indywidualne)</w:t>
      </w:r>
    </w:p>
    <w:p w14:paraId="02C509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rezultatu</w:t>
      </w:r>
    </w:p>
    <w:p w14:paraId="02C509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02C509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02C509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02C509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WLWK-PLRR011 - Ilość zaoszczędzonej energii elektrycznej</w:t>
      </w:r>
    </w:p>
    <w:p w14:paraId="02C509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WLWK-PLRR009 - Liczba dodatkowych użytkowników podłączonych do sieci ciepłowniczej</w:t>
      </w:r>
    </w:p>
    <w:p w14:paraId="02C509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9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WLWK-PLRR073 - Roczne zużycie energii pierwotnej w: budynkach publicznych</w:t>
      </w:r>
    </w:p>
    <w:p w14:paraId="02C509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02C509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WLWK-RCR105 - Szacowana emisja gazów cieplarnianych z kotłów i systemów ciepłowniczych przekształconych z zasilania stałymi paliwami kopalnymi na zasilanie gazem</w:t>
      </w:r>
    </w:p>
    <w:p w14:paraId="02C509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9C7"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5" w:name="_Toc235079753"/>
      <w:r>
        <w:rPr>
          <w:rFonts w:ascii="Calibri" w:hAnsi="Calibri" w:cs="Calibri"/>
          <w:sz w:val="32"/>
        </w:rPr>
        <w:t>Działanie FESL.02.02 Efektywność energetyczna budynków użyteczności publicznej – ZIT</w:t>
      </w:r>
      <w:bookmarkEnd w:id="15"/>
    </w:p>
    <w:p w14:paraId="02C509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9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02C509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9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128 736 605,00</w:t>
      </w:r>
    </w:p>
    <w:p w14:paraId="02C509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9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128 736 605,00</w:t>
      </w:r>
    </w:p>
    <w:p w14:paraId="02C509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9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 046 - Wsparcie dla podmiotów, które świadczą usługi wspierające gospodarkę niskoemisyjną i odporność na zmiany klimatu, w tym działania w zakresie zwiększania świadomości</w:t>
      </w:r>
    </w:p>
    <w:p w14:paraId="02C509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9D1" w14:textId="45B6390D"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Działanie dedykowane Zintegrowanym Inwestycjom Terytorialnym</w:t>
      </w:r>
      <w:r>
        <w:br/>
      </w:r>
      <w:r>
        <w:lastRenderedPageBreak/>
        <w:br/>
        <w:t>Typy projektu:</w:t>
      </w:r>
      <w:r>
        <w:br/>
        <w:t>1.</w:t>
      </w:r>
      <w:r>
        <w:tab/>
        <w:t>Modernizacja energetyczna budynków użyteczności publicznej, w tym budynków zabytkowych.</w:t>
      </w:r>
      <w:r>
        <w:br/>
        <w:t>2.</w:t>
      </w:r>
      <w:r>
        <w:tab/>
        <w:t>Działania edukacyjne związane z poprawą efektywności energetycznej.</w:t>
      </w:r>
      <w:r>
        <w:br/>
        <w:t xml:space="preserve"> </w:t>
      </w:r>
      <w:r>
        <w:br/>
        <w:t>Wsparciem objęte zostanie:</w:t>
      </w:r>
      <w:r>
        <w:br/>
      </w:r>
      <w:r>
        <w:br/>
        <w:t>1.</w:t>
      </w:r>
      <w:r>
        <w:tab/>
        <w:t>Głęboka i kompleksowa modernizacja energetyczna budynków użyteczności publicznej, w tym budynków zabytkowych; głęboka modernizacja rozumiana jako modernizacja budynku wynikająca z optymalnego wariantu zawartego w audycie energetycznym.</w:t>
      </w:r>
      <w:r>
        <w:br/>
        <w:t xml:space="preserve">W ramach inwestycji w budynku, gdzie przeprowadzana jest modernizacja energetyczna wynikająca z audytu energetycznego, możliwe będzie uzyskanie wsparcia na następujące działania: </w:t>
      </w:r>
      <w:r>
        <w:br/>
        <w:t xml:space="preserve">– instalacja urządzeń wykorzystujących odnawialne źródła energii wraz z magazynem energii; </w:t>
      </w:r>
      <w:r>
        <w:br/>
        <w:t xml:space="preserve">– wymiana/modernizacja źródeł ciepła lub podłączenie do sieci ciepłowniczej/chłodniczej - zgodnie z hierarchią wymiany źródeł ciepła; </w:t>
      </w:r>
      <w:r>
        <w:br/>
        <w:t>– wymiana/modernizacja instalacji CO i CWU;</w:t>
      </w:r>
      <w:r>
        <w:br/>
        <w:t>– wymiana oświetlenia na energooszczędne (w tym systemy zarządzania oświetleniem obiektu);</w:t>
      </w:r>
      <w:r>
        <w:br/>
        <w:t>– przebudowa systemów wentylacji i klimatyzacji;</w:t>
      </w:r>
      <w:r>
        <w:br/>
        <w:t>– innowacyjne systemy do monitorowania i zużycia energii oraz inteligentne rozwiązania ograniczające zużycie energii.</w:t>
      </w:r>
      <w:r>
        <w:br/>
        <w:t>Dopuszcza się finansowanie elementów Europejskiego Zielonego Ładu oraz rozwiązań na rzecz GOZ (zakres nie musi wynikać z audytu, limit: 15% kosztów kwalifikowanych).</w:t>
      </w:r>
      <w:r w:rsidR="002D509E">
        <w:t xml:space="preserve"> </w:t>
      </w:r>
      <w:r>
        <w:br/>
      </w:r>
      <w:r>
        <w:br/>
        <w:t>2.</w:t>
      </w:r>
      <w:r>
        <w:tab/>
        <w:t>Działania edukacyjno-informacyjne, doradcze, podnoszące świadomość i wiedzę w zakresie efektywności energetycznej i wykorzystania OZE oraz zmierzające do zwiększenia świadomości i poziomu akceptacji społecznej dla polityki neutralności klimatycznej UE, w tym działania wspierające wykonanie zapisów uchwały antysmogowej,</w:t>
      </w:r>
      <w:r w:rsidR="002D509E">
        <w:t xml:space="preserve"> </w:t>
      </w:r>
      <w:r>
        <w:t>w ramach projektu modernizacji budynku.</w:t>
      </w:r>
      <w:r>
        <w:br/>
      </w:r>
      <w:r>
        <w:br/>
        <w:t>Możliwa jest realizacja przedsięwzięć z partnerami mającymi siedzibę poza województwem śląskim.</w:t>
      </w:r>
      <w:r>
        <w:br/>
      </w:r>
      <w:r>
        <w:br/>
        <w:t>Obligatoryjne warunki wsparcia:</w:t>
      </w:r>
      <w:r>
        <w:br/>
        <w:t xml:space="preserve"> </w:t>
      </w:r>
      <w:r>
        <w:br/>
        <w:t>1. Wsparcie projektów zidentyfikowanych w Strategiach ZIT.</w:t>
      </w:r>
      <w:r>
        <w:br/>
      </w:r>
      <w:r>
        <w:br/>
        <w:t>2. Dofinansowanie uzyskają budynki użyteczności publicznej, których właścicielem jest samorząd terytorialny oraz podległe mu organy i jednostki organizacyjne oraz jednostki zarządzane przez jst, a także budynki użyteczności publicznej nie związane z administracją rządową oraz budynki należące do podmiotów uprawnionych do wykonywania ratownictwa górskiego, z zastrzeżeniem pkt 3.</w:t>
      </w:r>
      <w:r>
        <w:br/>
        <w:t xml:space="preserve">3. Wsparciem nie zostaną objęte budynki związane z administracją rządową tj. budynki, których właścicielem lub użytkownikiem jest organ władzy publicznej zarządzany centralnie, w tym państwowa jednostka budżetowa, jednostka administracji rządowej, podległy jej organ lub jednostka organizacyjna, a także państwowa osoba prawna (w rozumieniu ustawy z dnia 16 grudnia 2016 r. o zasadach </w:t>
      </w:r>
      <w:r>
        <w:lastRenderedPageBreak/>
        <w:t>zarządzania mieniem państwowym). Dopuszcza się możliwość wsparcia budynku użytkowanego przez organ władzy publicznej zarządzany centralnie w przypadku, gdy właścicielem budynku jest inny podmiot wpisujący się w katalog beneficjentów i nie wyłączony żadnymi innymi zapisami, np. gdy właścicielem budynku jest jst, wówczas o wsparcie powinien wnioskować właściciel budynku.</w:t>
      </w:r>
      <w:r>
        <w:br/>
        <w:t>4. Realizacja inwestycji na obszarze objętym Programem Ochrony Powietrza dla województwa śląskiego zgodnego z art. 23 dyrektywy 2008/50/WE oraz w zakresie zgodnym z uchwałą antysmogową.</w:t>
      </w:r>
      <w:r>
        <w:br/>
        <w:t xml:space="preserve"> </w:t>
      </w:r>
      <w:r>
        <w:br/>
        <w:t>5. Realizacja inwestycji na terenie gminy, której wskaźnik dochodów podatkowych (wskaźnik Gg)</w:t>
      </w:r>
      <w:r w:rsidR="002D509E">
        <w:t xml:space="preserve"> </w:t>
      </w:r>
      <w:r>
        <w:t>jest niższy od uśrednionej wartości dla województwa. Warunki z punktu 4 i 5 należy traktować łącznie. Warunek nr 5 nie dotyczy</w:t>
      </w:r>
      <w:r w:rsidR="002D509E">
        <w:t xml:space="preserve"> </w:t>
      </w:r>
      <w:r>
        <w:t>budynków zabytkowych.</w:t>
      </w:r>
      <w:r>
        <w:br/>
        <w:t>6. Brak wsparcia dla projektów z zakresu głębokiej modernizacji energetycznej zwiększających efektywność energetyczną (obliczaną dla energii pierwotnej) poniżej 30% liczonej dla każdego budynku w ramach projektu (warunek nie dotyczy budynków zabytkowych).</w:t>
      </w:r>
      <w:r>
        <w:br/>
        <w:t xml:space="preserve"> </w:t>
      </w:r>
      <w:r>
        <w:br/>
        <w:t>7. Projekty dotyczące wymiany źródła ciepła muszą być połączone z głęboką i kompleksową modernizacją energetyczną danego budynku.</w:t>
      </w:r>
      <w:r>
        <w:br/>
        <w:t xml:space="preserve"> </w:t>
      </w:r>
      <w:r>
        <w:br/>
        <w:t>8.</w:t>
      </w:r>
      <w:r>
        <w:tab/>
        <w:t>W przypadku wymiany źródła ciepła należy przestrzegać poniższej hierarchii źródeł (z zastrzeżeniem pkt 9), tj.:</w:t>
      </w:r>
      <w:r>
        <w:br/>
        <w:t>8.1. odnawialne źródła energii,</w:t>
      </w:r>
      <w:r>
        <w:br/>
        <w:t xml:space="preserve">8.2. podłączenie do sieci ciepłowniczej, </w:t>
      </w:r>
      <w:r>
        <w:br/>
        <w:t>8.3. inne dopuszczalne źródła ciepła, tj. ogrzewanie elektryczne, gaz ziemny; nie jest dopuszczalna wymiana źródła ciepła na źródło zasilane węglem kamiennym, węglem brunatnym, torfem, łupkami bitumicznymi i olejem opałowym.</w:t>
      </w:r>
      <w:r>
        <w:br/>
        <w:t>9. Dla naborów ogłaszanych od października 2024 r. brak wsparcia dla indywidualnych kotłów gazowych, za wyjątkiem hybrydowych systemów grzewczych tj. systemów opartych na integralnym połączeniu różnych urządzeń zasilanych OZE i gazem.</w:t>
      </w:r>
      <w:r w:rsidR="002D509E">
        <w:t xml:space="preserve"> </w:t>
      </w:r>
      <w:r>
        <w:t>Integralność polega na współdziałaniu oraz wspólnym i automatycznym sterowaniu różnymi źródłami ciepła, wchodzącymi w skład systemu (np. połączenie kotła gazowego z energią słoneczną termiczną lub pompą ciepła).</w:t>
      </w:r>
      <w:r>
        <w:br/>
      </w:r>
      <w:r>
        <w:br/>
        <w:t xml:space="preserve">10. Zakres i zasadność modernizacji energetycznej w projekcie musi wynikać z audytu energetycznego. Przed sporządzeniem audytu należy sporządzić/posiadać aktualne świadectwo charakterystyki energetycznej. Audyt energetyczny, sporządzony wg wzoru zamieszczonego w ogłoszeniu o naborze, powinien zostać przedłożony wraz z wnioskiem o dofinansowanie. </w:t>
      </w:r>
      <w:r>
        <w:br/>
        <w:t>Audyt energetyczny należy dołączyć w jednej z 2 form:</w:t>
      </w:r>
      <w:r>
        <w:br/>
        <w:t>•</w:t>
      </w:r>
      <w:r>
        <w:tab/>
        <w:t>audyt energetyczny sporządzony na szablonie (wzór załączony</w:t>
      </w:r>
      <w:r w:rsidR="002D509E">
        <w:t xml:space="preserve"> </w:t>
      </w:r>
      <w:r>
        <w:t>do Regulaminu) lub:</w:t>
      </w:r>
      <w:r>
        <w:br/>
        <w:t>•</w:t>
      </w:r>
      <w:r>
        <w:tab/>
        <w:t>aktualny audyt energetyczny sporządzony zgodnie z właściwymi przepisami</w:t>
      </w:r>
      <w:r w:rsidR="002D509E">
        <w:t xml:space="preserve"> </w:t>
      </w:r>
      <w:r>
        <w:t>wraz z wypełnioną kartą audytu energetycznego (wzór karty załączony do Regulaminu wyboru projektów) oraz świadectwo charakterystyki energetycznej dla budynku przed modernizacją energetyczną.</w:t>
      </w:r>
      <w:r>
        <w:br/>
        <w:t>Szablon audytu energetycznego oraz wzór karty audytu energetycznego zawierają również opracowany na potrzeby naboru podział na klasy energochłonności budynków.</w:t>
      </w:r>
      <w:r>
        <w:br/>
      </w:r>
      <w:r>
        <w:br/>
      </w:r>
      <w:r>
        <w:lastRenderedPageBreak/>
        <w:t>11. W przypadku budynków zabytkowych (objętych ochroną konserwatora zabytków), zakres wsparcia powinien wynikać z audytu energetycznego uzgodnionego z właściwym konserwatorem zabytków.</w:t>
      </w:r>
      <w:r>
        <w:br/>
        <w:t xml:space="preserve"> </w:t>
      </w:r>
      <w:r>
        <w:br/>
        <w:t>12. Po zakończeniu realizacji projektu wymagane jest posiadanie dokumentu potwierdzającego wykonanie zakresu działań określonych w audycie.</w:t>
      </w:r>
      <w:r>
        <w:br/>
        <w:t xml:space="preserve"> </w:t>
      </w:r>
      <w:r>
        <w:br/>
        <w:t>13. Konieczne jest wykonanie ekspertyzy ornitologicznej i chiropterologicznej oraz zapewnienie odpowiedniej ochrony ptaków i nietoperzy.</w:t>
      </w:r>
      <w:r>
        <w:br/>
        <w:t>14. Projekt jest zgodny z zasadą deinstytucjonalizacji.</w:t>
      </w:r>
      <w:r>
        <w:br/>
        <w:t xml:space="preserve"> </w:t>
      </w:r>
      <w:r>
        <w:br/>
        <w:t>15. Uwzględnienie w projekcie działań edukacyjnych i świadomościowych wzmacniających walory ekologiczne projektu oraz zmierzających do zwiększenia świadomości i poziomu akceptacji społecznej dla polityki neutralności klimatycznej UE.</w:t>
      </w:r>
      <w:r>
        <w:br/>
      </w:r>
      <w:r>
        <w:br/>
        <w:t>16. Działanie będzie realizowane z uwzględnieniem zasad horyzontalnych (zgodnie z art. 9 Rozporządzenia Parlamentu Europejskiego i Rady (UE) nr 2021/1060 z dnia 24 czerwca 2021 r.), a obowiązek ich stosowania wynika z Umowy Partnerstwa, programu oraz wytycznych.</w:t>
      </w:r>
      <w:r>
        <w:br/>
      </w:r>
      <w:r>
        <w:br/>
        <w:t>17. 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Preferowane warunki wsparcia:</w:t>
      </w:r>
      <w:r>
        <w:br/>
        <w:t xml:space="preserve"> </w:t>
      </w:r>
      <w:r>
        <w:br/>
        <w:t>Projekty kompleksowe, obejmujące również instalację urządzeń OZE.</w:t>
      </w:r>
      <w:r>
        <w:br/>
        <w:t xml:space="preserve"> </w:t>
      </w:r>
      <w:r>
        <w:br/>
        <w:t>Projekty zakładające podłączenie do sieci ciepłowniczej.</w:t>
      </w:r>
      <w:r>
        <w:br/>
        <w:t xml:space="preserve"> </w:t>
      </w:r>
      <w:r>
        <w:br/>
        <w:t>Projekty zwiększające w jak największym stopniu efektywność energetyczną.</w:t>
      </w:r>
      <w:r>
        <w:br/>
        <w:t xml:space="preserve"> </w:t>
      </w:r>
      <w:r>
        <w:br/>
        <w:t>Projekty o jak największej efektywności kosztowej w powiązaniu z efektami oszczędnościowymi oraz redukcją gazów cieplarnianych.</w:t>
      </w:r>
      <w:r>
        <w:br/>
        <w:t xml:space="preserve"> </w:t>
      </w:r>
      <w:r>
        <w:br/>
        <w:t>Projekty uwzględniające działania edukacyjne i świadomościowe wzmacniające walory ekologiczne projektu oraz zmierzające do zwiększenia świadomości i poziomu akceptacji społecznej dla polityki neutralności klimatycznej UE – premiowanie zgodnie z kryterium.</w:t>
      </w:r>
      <w:r>
        <w:br/>
        <w:t xml:space="preserve"> </w:t>
      </w:r>
      <w:r>
        <w:br/>
        <w:t>Projekty realizowane w partnerstwie publiczno-prywatnym (projekty hybrydowe, zgodnie z art. 40 ustawy o zasadach realizacji zadań ze środków europejskich finansowanych w perspektywie finansowej 2021-2027), w tym projekty ESCO.</w:t>
      </w:r>
      <w:r>
        <w:br/>
        <w:t xml:space="preserve"> </w:t>
      </w:r>
      <w:r>
        <w:br/>
      </w:r>
      <w:r>
        <w:lastRenderedPageBreak/>
        <w:t>Realizacja w projekcie zielonych zamówień publicznych w oparciu o opracowane przez KE wspólne kryteria możliwe do stosowania w państwach członkowskich Unii.</w:t>
      </w:r>
      <w:r>
        <w:br/>
        <w:t xml:space="preserve"> </w:t>
      </w:r>
      <w:r>
        <w:br/>
        <w:t>Wykorzystanie dobrych praktyk w zakresie ochrony środowiska, w szczególności standardów ochrony drzew.</w:t>
      </w:r>
      <w:r>
        <w:br/>
        <w:t>Zastosowane rozwiązania w zakresie obiegu cyrkularnego (w tym efektywności energetycznej i użycia energii z OZE), jak również elementy sprzyjające adaptacji do zmian klimatu (w szczególności zielona i niebieska infrastruktura).</w:t>
      </w:r>
      <w:r>
        <w:br/>
        <w:t xml:space="preserve"> </w:t>
      </w:r>
      <w:r>
        <w:br/>
        <w:t>Wykorzystanie dobrych praktyk wynikających z projektów realizowanych z programów Interreg, LIFE+, Region Morza Bałtyckiego oraz Europa Środkowa związanych z transformacją energetyczną, szczególnie realizowanych w regionach transgranicznych Czech (Kraj Morawskośląski) i Słowacji (Kraj Żyliński).</w:t>
      </w:r>
      <w:r>
        <w:br/>
        <w:t>Projekty realizowane na Obszarach Strategicznej Interwencji, wskazanych w Strategii Województwa Śląskiego „Śląskie 2030”, w szczególności OSI Gminy z problemami środowiskowymi w zakresie jakości powietrza oraz OSI Obszary cenne przyrodniczo.</w:t>
      </w:r>
      <w:r>
        <w:br/>
        <w:t xml:space="preserve"> </w:t>
      </w:r>
      <w:r>
        <w:br/>
        <w:t>Projekty realizujące założenia Nowego Europejskiego Bauhausu.</w:t>
      </w:r>
      <w:r>
        <w:br/>
      </w:r>
      <w:r>
        <w:br/>
        <w:t>Premiowane będą projekty, które mają istotny wkład w realizację jednego z sześciu celów środowiskowych określanych w rozporządzeniu (UE) 2020/852.</w:t>
      </w:r>
      <w:r>
        <w:br/>
      </w:r>
      <w:r>
        <w:br/>
      </w:r>
    </w:p>
    <w:p w14:paraId="02C509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9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9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9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9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9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9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9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w:t>
      </w:r>
      <w:r>
        <w:lastRenderedPageBreak/>
        <w:t>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09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9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9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9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9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9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9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9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9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9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2C509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9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Organizacje społeczne i związki wyznaniowe, Partnerstwa, Partnerzy społeczni, Przedsiębiorstwa realizujące cele publiczne, Służby publiczne, Zintegrowane Inwestycje Terytorialne (ZIT)</w:t>
      </w:r>
    </w:p>
    <w:p w14:paraId="02C509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9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Centra aktywności lokalnej, Inne podmioty systemu szkolnictwa wyższego i nauki, Instytucje integracji i pomocy społecznej, Instytucje kultury, Instytucje odpowiedzialne za gospodarkę wodną, Instytucje rynku pracy, Instytucje sportu, Izby Rolnicze, Jednostki organizacyjne działające w imieniu jednostek samorządu terytorialnego, Jednostki rządowe i samorządowe ochrony środowiska, Jednostki Samorządu Terytorialnego, Kluby sportowe, centra sportu, Kościoły i związki wyznaniowe, Lasy Państwowe, parki narodowe i krajobrazowe, Niepubliczne instytucje kultury, Niepubliczne instytucje sportu, Niepubliczne podmioty integracji i pomocy społecznej, Niepubliczne zakłady opieki zdrowotnej, Organizacje pozarządowe, Organizacje zrzeszające pracodawców, Organizatorzy i operatorzy publicznego transportu zbiorowego, Ośrodki kształcenia dorosłych, Partnerstwa instytucji pozarządowych, Partnerstwa Publiczno-Prywatne, Podmioty ekonomii społecznej, Podmioty świadczące usługi publiczne w ramach realizacji obowiązków własnych jednostek samorządu terytorialnego, Podmioty zarządzające terenami inwestycyjnymi, Policja, straż pożarna i służby ratownicze, Porty lotnicze, Pozarządowe organizacje turystyczne, Przedsiębiorstwa działające w zakresie transportu intermodalnego, Przedsiębiorstwa kolejowych przewozów pasażerskich, Przedsiębiorstwa kolejowych przewozów towarowych, Przedsiębiorstwa świadczące kompleksowe usługi sanatoryjne/uzdrowiskowe/zakłady lecznictwa uzdrowiskowego, Przedsiębiorstwa wodociągowo-kanalizacyjne, Przedszkola i inne formy wychowania przedszkolnego, Publiczne zakłady opieki zdrowotnej, Spółki wodne, Szkoły i inne placówki systemu oświaty, Uczelnie, Uzdrowiska, Wspólnoty, spółdzielnie mieszkaniowe, TBS i SIM, Zarządcy dróg publicznych, Zarządcy infrastruktury dworcowej , Zarządcy infrastruktury kolejowej, Zarządzający portami morskimi i wodnymi śródlądowymi, Zintegrowane Inwestycje Terytorialne (ZIT), Związki zawodowe</w:t>
      </w:r>
    </w:p>
    <w:p w14:paraId="02C509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9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budynki_użyteczności_publicznej, edukacja_ekologiczna, efektywność_energetyczna, modernizacja_energetyczna, ocieplenie_budynku, OZE, termomodernizacja, ZIT</w:t>
      </w:r>
    </w:p>
    <w:p w14:paraId="02C509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9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09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9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9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9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02C509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02C509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02C509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9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WLWK-PLRO237 - Liczba powstałych magazynów energii cieplnej</w:t>
      </w:r>
    </w:p>
    <w:p w14:paraId="02C509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02C509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WLWK-PLRO199 - Liczba projektów, w których sfinansowano koszty racjonalnych usprawnień dla osób z niepełnosprawnościami (EFRR/FST/FS)</w:t>
      </w:r>
    </w:p>
    <w:p w14:paraId="02C509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9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02C509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02C509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02C509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02C509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02C509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02C509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WLWK-PLRO025 - Liczba zmodernizowanych źródeł ciepła (innych niż indywidualne)</w:t>
      </w:r>
    </w:p>
    <w:p w14:paraId="02C509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09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0A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A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02C50A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02C50A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02C50A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WLWK-PLRR011 - Ilość zaoszczędzonej energii elektrycznej</w:t>
      </w:r>
    </w:p>
    <w:p w14:paraId="02C50A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WLWK-PLRR009 - Liczba dodatkowych użytkowników podłączonych do sieci ciepłowniczej</w:t>
      </w:r>
    </w:p>
    <w:p w14:paraId="02C50A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A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WLWK-PLRR073 - Roczne zużycie energii pierwotnej w: budynkach publicznych</w:t>
      </w:r>
    </w:p>
    <w:p w14:paraId="02C50A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02C50A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WLWK-RCR105 - Szacowana emisja gazów cieplarnianych z kotłów i systemów ciepłowniczych przekształconych z zasilania stałymi paliwami kopalnymi na zasilanie gazem</w:t>
      </w:r>
    </w:p>
    <w:p w14:paraId="02C50A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A0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6" w:name="_Toc235079754"/>
      <w:r>
        <w:rPr>
          <w:rFonts w:ascii="Calibri" w:hAnsi="Calibri" w:cs="Calibri"/>
          <w:sz w:val="32"/>
        </w:rPr>
        <w:t>Działanie FESL.02.03 Efektywność energetyczna budynków mieszkalnych</w:t>
      </w:r>
      <w:bookmarkEnd w:id="16"/>
    </w:p>
    <w:p w14:paraId="02C50A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A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02C50A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A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8 000 000,00</w:t>
      </w:r>
    </w:p>
    <w:p w14:paraId="02C50A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Wysokość alokacji UE (EUR)</w:t>
      </w:r>
    </w:p>
    <w:p w14:paraId="02C50A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8 000 000,00</w:t>
      </w:r>
    </w:p>
    <w:p w14:paraId="02C50A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A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042 - Renowacja istniejących budynków mieszkalnych pod kątem efektywności energetycznej, projekty demonstracyjne i działania wspierające zgodne z kryteriami efektywności energetycznej, 046 - Wsparcie dla podmiotów, które świadczą usługi wspierające gospodarkę niskoemisyjną i odporność na zmiany klimatu, w tym działania w zakresie zwiększania świadomości, 077 - Działania mające na celu poprawę jakości powietrza i ograniczenie hałasu</w:t>
      </w:r>
    </w:p>
    <w:p w14:paraId="02C50A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A15" w14:textId="2D330B24"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 Typy projektu:</w:t>
      </w:r>
      <w:r>
        <w:br/>
        <w:t>1. Modernizacja energetyczna wielorodzinnych budynków komunalnych, w tym budynków zabytkowych.</w:t>
      </w:r>
      <w:r>
        <w:br/>
        <w:t>2. Działania edukacyjne związane z poprawą efektywności energetycznej.</w:t>
      </w:r>
      <w:r>
        <w:br/>
      </w:r>
      <w:r>
        <w:br/>
        <w:t>Wsparciem objęte zostanie:</w:t>
      </w:r>
      <w:r>
        <w:br/>
        <w:t>1.</w:t>
      </w:r>
      <w:r>
        <w:tab/>
        <w:t xml:space="preserve"> Głęboka i kompleksowa modernizacja energetyczna wielorodzinnych budynków komunalnych, w tym budynków zabytkowych; głęboka modernizacja rozumiana jako modernizacja budynku wynikająca z optymalnego wariantu zawartego w audycie energetycznym.</w:t>
      </w:r>
      <w:r>
        <w:br/>
        <w:t>W ramach inwestycji w budynku, gdzie przeprowadzana jest modernizacja energetyczna wynikająca z audytu energetycznego, możliwe będzie uzyskanie wsparcia na następujące działania:</w:t>
      </w:r>
      <w:r w:rsidR="002D509E">
        <w:t xml:space="preserve"> </w:t>
      </w:r>
      <w:r>
        <w:br/>
        <w:t xml:space="preserve">– instalacja urządzeń wykorzystujących odnawialne źródła energii wraz z magazynem energii; </w:t>
      </w:r>
      <w:r>
        <w:br/>
        <w:t>– wymiana/modernizacja źródeł ciepła lub podłączenia do sieci ciepłowniczej/chłodniczej - zgodnie z hierarchią wymiany źródeł ciepła;</w:t>
      </w:r>
      <w:r>
        <w:br/>
        <w:t>– wymiana/modernizacja instalacji CO i CWU;</w:t>
      </w:r>
      <w:r>
        <w:br/>
        <w:t>– wymiana oświetlenia na energooszczędne (w tym systemy zarządzania oświetleniem obiektu);</w:t>
      </w:r>
      <w:r>
        <w:br/>
        <w:t>– przebudowa systemów wentylacji i klimatyzacji;</w:t>
      </w:r>
      <w:r>
        <w:br/>
        <w:t>– innowacyjne systemy do monitorowania i zużycia energii oraz inteligentne rozwiązania ograniczające zużycie energii.</w:t>
      </w:r>
      <w:r>
        <w:br/>
        <w:t xml:space="preserve">Dopuszcza się finansowanie elementów Europejskiego Zielonego Ładu oraz rozwiązań na rzecz GOZ (zakres nie musi wynikać z audytu, limit 15% kosztów kwalifikowanych). </w:t>
      </w:r>
      <w:r>
        <w:br/>
      </w:r>
      <w:r>
        <w:br/>
        <w:t>2.</w:t>
      </w:r>
      <w:r>
        <w:tab/>
        <w:t xml:space="preserve">Działania edukacyjno-informacyjne, doradcze, podnoszące świadomość i wiedzę w zakresie efektywności energetycznej i wykorzystania OZE oraz zmierzające do zwiększenia świadomości i poziomu akceptacji społecznej dla polityki neutralności klimatycznej UE, w tym działania wspierające wykonanie zapisów uchwały antysmogowej, w ramach projektu modernizacji budynku. </w:t>
      </w:r>
      <w:r>
        <w:br/>
      </w:r>
      <w:r>
        <w:br/>
        <w:t>Możliwa jest realizacja przedsięwzięć z partnerami mającymi siedzibę poza województwem śląskim.</w:t>
      </w:r>
      <w:r>
        <w:br/>
      </w:r>
      <w:r>
        <w:br/>
        <w:t>Obligatoryjne warunki wsparcia:</w:t>
      </w:r>
      <w:r>
        <w:br/>
      </w:r>
      <w:r>
        <w:lastRenderedPageBreak/>
        <w:br/>
        <w:t>1. Przewiduje się dedykowane wsparcie dla projektów, które posiadają dokumentację przygotowaną w ramach inicjatywy ELENA.</w:t>
      </w:r>
      <w:r>
        <w:br/>
      </w:r>
      <w:r>
        <w:br/>
        <w:t>2. Wsparciem objęte zostaną wielorodzinne budynki komunalne, w tym budynki zabytkowe. Za wielorodzinne budynki komunalne uważa się budynki wielorodzinne, wchodzące w skład mienia komunalnego w rozumieniu ustawy o samorządzie gminnym, których własność i inne prawa majątkowe należą do poszczególnych gmin i ich związków oraz innych gminnych osób prawnych, w tym przedsiębiorstw.</w:t>
      </w:r>
      <w:r>
        <w:br/>
      </w:r>
      <w:r>
        <w:br/>
        <w:t>3. Realizacja inwestycji na obszarze objętym Programem Ochrony Powietrza dla województwa śląskiego zgodnego z art. 23 dyrektywy 2008/50/WE oraz w zakresie zgodnym z uchwałą antysmogową.</w:t>
      </w:r>
      <w:r>
        <w:br/>
      </w:r>
      <w:r>
        <w:br/>
        <w:t>4. Brak wsparcia dla projektów z zakresu głębokiej modernizacji energetycznej zwiększających efektywność energetyczną (obliczaną dla energii pierwotnej) poniżej 30% liczonej dla każdego budynku w ramach projektu (warunek nie dotyczy budynków zabytkowych).</w:t>
      </w:r>
      <w:r>
        <w:br/>
      </w:r>
      <w:r>
        <w:br/>
        <w:t>5. Projekty dotyczące wymiany źródła ciepła muszą być połączone z głęboką i kompleksową modernizacją energetyczną danego budynku.</w:t>
      </w:r>
      <w:r>
        <w:br/>
      </w:r>
      <w:r>
        <w:br/>
        <w:t xml:space="preserve">6. W przypadku wymiany źródła ciepła należy przestrzegać poniższej hierarchii źródeł (z zastrzeżeniem pkt 7), tj.: </w:t>
      </w:r>
      <w:r>
        <w:br/>
        <w:t>6.1. odnawialne źródła energii,</w:t>
      </w:r>
      <w:r>
        <w:br/>
        <w:t xml:space="preserve">6.2. podłączenie do sieci ciepłowniczej, </w:t>
      </w:r>
      <w:r>
        <w:br/>
        <w:t>6.3. inne dopuszczalne źródła ciepła, tj. ogrzewanie elektryczne, gaz ziemny; nie jest dopuszczalna wymiana źródła ciepła na źródło zasilane węglem kamiennym, węglem brunatnym, torfem, łupkami bitumicznymi i olejem opałowym.</w:t>
      </w:r>
      <w:r>
        <w:br/>
      </w:r>
      <w:r>
        <w:br/>
        <w:t>7. Brak wsparcia dla indywidualnych kotłów gazowych, za wyjątkiem hybrydowych systemów grzewczych tj. systemów opartych na integralnym połączeniu różnych urządzeń zasilanych OZE i gazem.</w:t>
      </w:r>
      <w:r w:rsidR="002D509E">
        <w:t xml:space="preserve"> </w:t>
      </w:r>
      <w:r>
        <w:t>Integralność polega na współdziałaniu oraz wspólnym i automatycznym sterowaniu różnymi źródłami ciepła, wchodzącymi w skład systemu (np. połączenie kotła gazowego z energią słoneczną termiczną lub pompą ciepła).</w:t>
      </w:r>
      <w:r>
        <w:br/>
      </w:r>
      <w:r>
        <w:br/>
        <w:t>8. Zakres i zasadność modernizacji energetycznej w projekcie musi wynikać z audytu energetycznego. Przed sporządzeniem audytu należy sporządzić/posiadać aktualne świadectwo charakterystyki energetycznej. Audyt energetyczny, sporządzony wg wzoru zamieszczonego w ogłoszeniu o naborze, powinien zostać przedłożony wraz z wnioskiem o dofinansowanie.</w:t>
      </w:r>
      <w:r w:rsidR="002D509E">
        <w:t xml:space="preserve"> </w:t>
      </w:r>
      <w:r>
        <w:br/>
        <w:t>Audyt energetyczny należy dołączyć w jednej z 2 form:</w:t>
      </w:r>
      <w:r>
        <w:br/>
        <w:t>•</w:t>
      </w:r>
      <w:r>
        <w:tab/>
        <w:t>audyt energetyczny sporządzony na szablonie (wzór załączony</w:t>
      </w:r>
      <w:r w:rsidR="002D509E">
        <w:t xml:space="preserve"> </w:t>
      </w:r>
      <w:r>
        <w:t>do Regulaminu) lub:</w:t>
      </w:r>
      <w:r>
        <w:br/>
        <w:t>•</w:t>
      </w:r>
      <w:r>
        <w:tab/>
        <w:t>aktualny audyt energetyczny sporządzony zgodnie z właściwymi przepisami</w:t>
      </w:r>
      <w:r w:rsidR="002D509E">
        <w:t xml:space="preserve"> </w:t>
      </w:r>
      <w:r>
        <w:t xml:space="preserve">wraz z wypełnioną kartą audytu energetycznego (wzór karty załączony do Regulaminu wyboru projektów) oraz świadectwo </w:t>
      </w:r>
      <w:r>
        <w:lastRenderedPageBreak/>
        <w:t>charakterystyki energetycznej dla budynku przed modernizacją energetyczną.</w:t>
      </w:r>
      <w:r>
        <w:br/>
        <w:t>Szablon audytu energetycznego oraz wzór karty audytu energetycznego zawierają również opracowany na potrzeby naboru podział na klasy energochłonności budynków.</w:t>
      </w:r>
      <w:r>
        <w:br/>
      </w:r>
      <w:r>
        <w:br/>
        <w:t>9. W przypadku budynków zabytkowych (objętych ochroną konserwatora zabytków), zakres wsparcia powinien wynikać z audytu energetycznego uzgodnionego z właściwym konserwatorem zabytków.</w:t>
      </w:r>
      <w:r>
        <w:br/>
      </w:r>
      <w:r>
        <w:br/>
        <w:t>10. Po zakończeniu realizacji projektu wymagane jest posiadanie dokumentu potwierdzającego wykonanie zakresu działań określonych w audycie.</w:t>
      </w:r>
      <w:r>
        <w:br/>
      </w:r>
      <w:r>
        <w:br/>
        <w:t>11. Konieczne jest wykonanie ekspertyzy ornitologicznej i chiropterologicznej oraz zapewnienie odpowiedniej ochrony ptaków i nietoperzy.</w:t>
      </w:r>
      <w:r>
        <w:br/>
      </w:r>
      <w:r>
        <w:br/>
        <w:t>12. Projekt jest zgodny z zasadą deinstytucjonalizacji.</w:t>
      </w:r>
      <w:r>
        <w:br/>
      </w:r>
      <w:r>
        <w:br/>
        <w:t>13. Uwzględnienie w projekcie działań edukacyjnych i świadomościowych wzmacniających walory ekologiczne projektu oraz zmierzających do zwiększenia świadomości i poziomu akceptacji społecznej dla polityki neutralności klimatycznej UE.</w:t>
      </w:r>
      <w:r>
        <w:br/>
      </w:r>
      <w:r>
        <w:br/>
        <w:t>14. Działanie będzie realizowane z uwzględnieniem zasad horyzontalnych (zgodnie z art. 9 Rozporządzenia Parlamentu Europejskiego i Rady (UE) nr 2021/1060 z dnia 24 czerwca 2021 r.), a obowiązek ich stosowania wynika z Umowy Partnerstwa, programu oraz wytycznych.</w:t>
      </w:r>
      <w:r>
        <w:br/>
      </w:r>
      <w:r>
        <w:br/>
        <w:t>15. 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Preferowane warunki wsparcia:</w:t>
      </w:r>
      <w:r>
        <w:br/>
      </w:r>
      <w:r>
        <w:br/>
        <w:t>Projekty kompleksowe, obejmujące również instalację urządzeń OZE.</w:t>
      </w:r>
      <w:r>
        <w:br/>
      </w:r>
      <w:r>
        <w:br/>
        <w:t>Projekty zakładające podłączenie do sieci ciepłowniczej.</w:t>
      </w:r>
      <w:r>
        <w:br/>
      </w:r>
      <w:r>
        <w:br/>
        <w:t>Projekty zwiększające w jak największym stopniu efektywność energetyczną.</w:t>
      </w:r>
      <w:r>
        <w:br/>
      </w:r>
      <w:r>
        <w:br/>
        <w:t>Projekty o jak największej efektywności kosztowej w powiązaniu z efektami oszczędnościowymi oraz redukcją gazów cieplarnianych.</w:t>
      </w:r>
      <w:r>
        <w:br/>
      </w:r>
      <w:r>
        <w:br/>
        <w:t>Projekty uwzględniające działania edukacyjne i świadomościowe wzmacniające walory ekologiczne projektu oraz zmierzające do zwiększenia świadomości i poziomu akceptacji społecznej dla polityki neutralności klimatycznej UE – premiowanie zgodnie z kryterium.</w:t>
      </w:r>
      <w:r>
        <w:br/>
      </w:r>
      <w:r>
        <w:lastRenderedPageBreak/>
        <w:br/>
        <w:t>Projekty realizowane w partnerstwie publiczno-prywatnym (projekty hybrydowe, zgodnie z art. 40 ustawy o zasadach realizacji zadań ze środków europejskich finansowanych w perspektywie finansowej 2021-2027), w tym projekty ESCO.</w:t>
      </w:r>
      <w:r>
        <w:br/>
      </w:r>
      <w:r>
        <w:br/>
        <w:t>Realizacja w projekcie zielonych zamówień publicznych w oparciu o opracowane przez KE wspólne kryteria możliwe do stosowania w państwach członkowskich Unii.</w:t>
      </w:r>
      <w:r>
        <w:br/>
      </w:r>
      <w:r>
        <w:br/>
        <w:t>Projekty ograniczające ubóstwo energetyczne.</w:t>
      </w:r>
      <w:r>
        <w:br/>
      </w:r>
      <w:r>
        <w:br/>
        <w:t>Wykorzystanie dobrych praktyk w zakresie ochrony środowiska, w szczególności standardów ochrony drzew.</w:t>
      </w:r>
      <w:r>
        <w:br/>
      </w:r>
      <w:r>
        <w:br/>
        <w:t>Zastosowane rozwiązania w zakresie obiegu cyrkularnego (w tym efektywności energetycznej i użycia energii z OZE), jak również elementy sprzyjające adaptacji do zmian klimatu (w szczególności zielona i niebieska infrastruktura).</w:t>
      </w:r>
      <w:r>
        <w:br/>
      </w:r>
      <w:r>
        <w:br/>
        <w:t xml:space="preserve">Wykorzystanie dobrych praktyk wynikających z projektów realizowanych z programów Interreg, LIFE+, Region Morza Bałtyckiego oraz Europa Środkowa związanych z transformacją energetyczną, szczególnie realizowanych w regionach transgranicznych Czech (Kraj Morawskośląski) i Słowacji (Kraj Żyliński). </w:t>
      </w:r>
      <w:r>
        <w:br/>
      </w:r>
      <w:r>
        <w:br/>
        <w:t>Projekty realizowane na Obszarach Strategicznej Interwencji, wskazanych w Strategii Województwa Śląskiego „Śląskie 2030”, w szczególności OSI Gminy z problemami środowiskowymi w zakresie jakości powietrza oraz OSI Obszary cenne przyrodniczo.</w:t>
      </w:r>
      <w:r>
        <w:br/>
      </w:r>
      <w:r>
        <w:br/>
        <w:t>Projekty realizujące założenia Nowego Europejskiego Bauhausu.</w:t>
      </w:r>
      <w:r>
        <w:br/>
      </w:r>
      <w:r>
        <w:br/>
        <w:t>Premiowane będą projekty, które mają istotny wkład w realizację jednego z sześciu celów środowiskowych określanych w rozporządzeniu (UE) 2020/852.</w:t>
      </w:r>
      <w:r>
        <w:br/>
      </w:r>
    </w:p>
    <w:p w14:paraId="02C50A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A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A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A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A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A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A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A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0A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A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A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A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A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A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A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A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A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Realizacja instrumentów terytorialnych</w:t>
      </w:r>
    </w:p>
    <w:p w14:paraId="02C50A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A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A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Służby publiczne</w:t>
      </w:r>
    </w:p>
    <w:p w14:paraId="02C50A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A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Partnerstwa Publiczno-Prywatne, Podmioty świadczące usługi publiczne w ramach realizacji obowiązków własnych jednostek samorządu terytorialnego</w:t>
      </w:r>
    </w:p>
    <w:p w14:paraId="02C50A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A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budynki_mieszkalne, budynki_wielorodzinne, edukacja_ekologiczna, modernizacja_energetyczna, OZE, termomodernizacja</w:t>
      </w:r>
    </w:p>
    <w:p w14:paraId="02C50A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A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A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A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02C50A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02C50A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A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WLWK-PLRO237 - Liczba powstałych magazynów energii cieplnej</w:t>
      </w:r>
    </w:p>
    <w:p w14:paraId="02C50A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02C50A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A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A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02C50A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02C50A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02C50A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02C50A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02C50A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02C50A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WLWK-PLRO025 - Liczba zmodernizowanych źródeł ciepła (innych niż indywidualne)</w:t>
      </w:r>
    </w:p>
    <w:p w14:paraId="02C50A3F" w14:textId="055167E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w:t>
      </w:r>
      <w:r w:rsidR="002D509E">
        <w:t xml:space="preserve"> </w:t>
      </w:r>
      <w:r>
        <w:t>charakterystyce energetycznej</w:t>
      </w:r>
    </w:p>
    <w:p w14:paraId="02C50A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WLWK-RCO123 - Lokale mieszkalne wykorzystujące kotły i systemy ciepłownicze zasilane gazem ziemnym zastępujące instalacje zasilane stałymi paliwami kopalnymi</w:t>
      </w:r>
    </w:p>
    <w:p w14:paraId="02C50A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WLWK-PLRO022 - Powierzchnia użytkowa budynków mieszkalnych poddanych termomodernizacji</w:t>
      </w:r>
    </w:p>
    <w:p w14:paraId="02C50A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A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02C50A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02C50A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02C50A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WLWK-PLRR011 - Ilość zaoszczędzonej energii elektrycznej</w:t>
      </w:r>
    </w:p>
    <w:p w14:paraId="02C50A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WLWK-PLRR009 - Liczba dodatkowych użytkowników podłączonych do sieci ciepłowniczej</w:t>
      </w:r>
    </w:p>
    <w:p w14:paraId="02C50A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A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WLWK-PLRR072 - Roczne zużycie energii pierwotnej w: lokalach mieszkalnych</w:t>
      </w:r>
    </w:p>
    <w:p w14:paraId="02C50A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02C50A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WLWK-RCR105 - Szacowana emisja gazów cieplarnianych z kotłów i systemów ciepłowniczych przekształconych z zasilania stałymi paliwami kopalnymi na zasilanie gazem</w:t>
      </w:r>
    </w:p>
    <w:p w14:paraId="02C50A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A4D"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7" w:name="_Toc235079755"/>
      <w:r>
        <w:rPr>
          <w:rFonts w:ascii="Calibri" w:hAnsi="Calibri" w:cs="Calibri"/>
          <w:sz w:val="32"/>
        </w:rPr>
        <w:t>Działanie FESL.02.04 Efektywność energetyczna budynków mieszkalnych – ZIT</w:t>
      </w:r>
      <w:bookmarkEnd w:id="17"/>
    </w:p>
    <w:p w14:paraId="02C50A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A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02C50A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A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0A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A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0A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A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042 - Renowacja istniejących budynków mieszkalnych pod kątem efektywności energetycznej, projekty demonstracyjne i działania wspierające zgodne z kryteriami efektywności energetycznej, 046 - Wsparcie dla podmiotów, które świadczą usługi wspierające gospodarkę niskoemisyjną i odporność na zmiany klimatu, w tym działania w zakresie zwiększania świadomości, 077 - Działania mające na celu poprawę jakości powietrza i ograniczenie hałasu</w:t>
      </w:r>
    </w:p>
    <w:p w14:paraId="02C50A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A57" w14:textId="697998B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r>
      <w:r>
        <w:br/>
        <w:t>Działanie dedykowane Zintegrowanym Inwestycjom Terytorialnym</w:t>
      </w:r>
      <w:r>
        <w:br/>
      </w:r>
      <w:r>
        <w:br/>
        <w:t>Typy projektu:</w:t>
      </w:r>
      <w:r>
        <w:br/>
        <w:t>1. Modernizacja energetyczna wielorodzinnych budynków komunalnych, w tym budynków zabytkowych.</w:t>
      </w:r>
      <w:r>
        <w:br/>
        <w:t>2. Działania edukacyjne związane z poprawą efektywności energetycznej.</w:t>
      </w:r>
      <w:r>
        <w:br/>
      </w:r>
      <w:r>
        <w:br/>
        <w:t>Wsparciem objęte zostanie:</w:t>
      </w:r>
      <w:r>
        <w:br/>
      </w:r>
      <w:r>
        <w:br/>
        <w:t>1. Głęboka i kompleksowa modernizacja energetyczna wielorodzinnych budynków komunalnych, w tym budynków zabytkowych; głęboka modernizacja rozumiana jako modernizacja budynku wynikająca z optymalnego wariantu zawartego w audycie energetycznym.</w:t>
      </w:r>
      <w:r>
        <w:br/>
        <w:t>W ramach inwestycji w budynku, gdzie przeprowadzana jest modernizacja energetyczna wynikająca z audytu energetycznego, możliwe będzie uzyskanie wsparcia na następujące działania:</w:t>
      </w:r>
      <w:r w:rsidR="002D509E">
        <w:t xml:space="preserve"> </w:t>
      </w:r>
      <w:r>
        <w:br/>
        <w:t xml:space="preserve">– instalacja urządzeń wykorzystujących odnawialne źródła energii wraz z magazynem energii; </w:t>
      </w:r>
      <w:r>
        <w:br/>
        <w:t>– wymiana/modernizacja źródeł ciepła lub podłączenia do sieci ciepłowniczej/chłodniczej - zgodnie z hierarchią wymiany źródeł ciepła;</w:t>
      </w:r>
      <w:r>
        <w:br/>
        <w:t>– wymiana/modernizacja instalacji CO i CWU;</w:t>
      </w:r>
      <w:r>
        <w:br/>
        <w:t>– wymiana oświetlenia na energooszczędne (w tym systemy zarządzania oświetleniem obiektu);</w:t>
      </w:r>
      <w:r>
        <w:br/>
        <w:t>– przebudowa systemów wentylacji i klimatyzacji;</w:t>
      </w:r>
      <w:r>
        <w:br/>
        <w:t>– innowacyjne systemy do monitorowania i zużycia energii oraz inteligentne rozwiązania ograniczające zużycie energii.</w:t>
      </w:r>
      <w:r>
        <w:br/>
        <w:t xml:space="preserve">Dopuszcza się finansowanie elementów Europejskiego Zielonego Ładu oraz rozwiązań na rzecz GOZ (zakres nie musi wynikać z audytu, limit 15% kosztów kwalifikowanych). </w:t>
      </w:r>
      <w:r>
        <w:br/>
      </w:r>
      <w:r>
        <w:br/>
        <w:t xml:space="preserve">2. Działania edukacyjno-informacyjne, doradcze, podnoszące świadomość i wiedzę w zakresie efektywności energetycznej i wykorzystania OZE oraz zmierzające do zwiększenia świadomości i poziomu akceptacji społecznej dla polityki neutralności klimatycznej UE, w tym działania wspierające wykonanie zapisów uchwały antysmogowej, w ramach projektu modernizacji budynku. </w:t>
      </w:r>
      <w:r>
        <w:br/>
      </w:r>
      <w:r>
        <w:br/>
        <w:t>Możliwa jest realizacja przedsięwzięć z partnerami mającymi siedzibę poza województwem śląskim.</w:t>
      </w:r>
      <w:r>
        <w:br/>
      </w:r>
      <w:r>
        <w:br/>
        <w:t>Obligatoryjne warunki wsparcia:</w:t>
      </w:r>
      <w:r>
        <w:br/>
      </w:r>
      <w:r>
        <w:br/>
        <w:t>1. Wsparcie projektów zidentyfikowanych w Strategiach ZIT.</w:t>
      </w:r>
      <w:r>
        <w:br/>
      </w:r>
      <w:r>
        <w:br/>
        <w:t xml:space="preserve">2. Wsparciem objęte zostaną wielorodzinne budynki komunalne, w tym budynki zabytkowe. Za wielorodzinne budynki komunalne uważa się budynki wielorodzinne, wchodzące w skład mienia komunalnego w rozumieniu ustawy o samorządzie gminnym, których własność i inne prawa majątkowe należą do poszczególnych gmin i ich związków oraz innych gminnych osób prawnych, w tym </w:t>
      </w:r>
      <w:r>
        <w:lastRenderedPageBreak/>
        <w:t>przedsiębiorstw.</w:t>
      </w:r>
      <w:r>
        <w:br/>
      </w:r>
      <w:r>
        <w:br/>
        <w:t>3. Realizacja inwestycji na obszarze objętym Programem Ochrony Powietrza dla województwa śląskiego zgodnego z art. 23 dyrektywy 2008/50/WE oraz w zakresie zgodnym z uchwałą antysmogową.</w:t>
      </w:r>
      <w:r>
        <w:br/>
      </w:r>
      <w:r>
        <w:br/>
        <w:t>4. Brak wsparcia dla projektów z zakresu głębokiej modernizacji energetycznej zwiększających efektywność energetyczną (obliczaną dla energii pierwotnej) poniżej 30% liczonej dla każdego budynku w ramach projektu (warunek nie dotyczy budynków zabytkowych).</w:t>
      </w:r>
      <w:r>
        <w:br/>
      </w:r>
      <w:r>
        <w:br/>
        <w:t>5. Projekty dotyczące wymiany źródła ciepła muszą być połączone z głęboką i kompleksową modernizacją energetyczną danego budynku.</w:t>
      </w:r>
      <w:r>
        <w:br/>
      </w:r>
      <w:r>
        <w:br/>
        <w:t xml:space="preserve">6. W przypadku wymiany źródła ciepła należy przestrzegać poniższej hierarchii źródeł (z zastrzeżeniem pkt 7), tj.: </w:t>
      </w:r>
      <w:r>
        <w:br/>
        <w:t>6.1. odnawialne źródła energii,</w:t>
      </w:r>
      <w:r>
        <w:br/>
        <w:t xml:space="preserve">6.2. podłączenie do sieci ciepłowniczej, </w:t>
      </w:r>
      <w:r>
        <w:br/>
        <w:t>6.3. inne dopuszczalne źródła ciepła, tj. ogrzewanie elektryczne, gaz ziemny; nie jest dopuszczalna wymiana źródła ciepła na źródło zasilane węglem kamiennym, węglem brunatnym, torfem, łupkami bitumicznymi i olejem opałowym.</w:t>
      </w:r>
      <w:r>
        <w:br/>
      </w:r>
      <w:r>
        <w:br/>
        <w:t>7. Brak wsparcia dla indywidualnych kotłów gazowych, za wyjątkiem hybrydowych systemów grzewczych tj. systemów opartych na integralnym połączeniu różnych urządzeń zasilanych OZE i gazem.</w:t>
      </w:r>
      <w:r w:rsidR="002D509E">
        <w:t xml:space="preserve"> </w:t>
      </w:r>
      <w:r>
        <w:t>Integralność polega na współdziałaniu oraz wspólnym i automatycznym sterowaniu różnymi źródłami ciepła, wchodzącymi w skład systemu (np. połączenie kotła gazowego z energią słoneczną termiczną lub pompą ciepła).</w:t>
      </w:r>
      <w:r>
        <w:br/>
      </w:r>
      <w:r>
        <w:br/>
        <w:t>8. Zakres i zasadność modernizacji energetycznej w projekcie musi wynikać z audytu energetycznego. Przed sporządzeniem audytu należy sporządzić/posiadać aktualne świadectwo charakterystyki energetycznej. Audyt energetyczny, sporządzony wg wzoru zamieszczonego w ogłoszeniu o naborze, powinien zostać przedłożony wraz z wnioskiem o dofinansowanie.</w:t>
      </w:r>
      <w:r w:rsidR="002D509E">
        <w:t xml:space="preserve"> </w:t>
      </w:r>
      <w:r>
        <w:br/>
        <w:t>Audyt energetyczny należy dołączyć w jednej z 2 form:</w:t>
      </w:r>
      <w:r>
        <w:br/>
        <w:t>•</w:t>
      </w:r>
      <w:r>
        <w:tab/>
        <w:t>audyt energetyczny sporządzony na szablonie (wzór załączony</w:t>
      </w:r>
      <w:r w:rsidR="002D509E">
        <w:t xml:space="preserve"> </w:t>
      </w:r>
      <w:r>
        <w:t>do Regulaminu) lub:</w:t>
      </w:r>
      <w:r>
        <w:br/>
        <w:t>•</w:t>
      </w:r>
      <w:r>
        <w:tab/>
        <w:t>aktualny audyt energetyczny sporządzony zgodnie z właściwymi przepisami</w:t>
      </w:r>
      <w:r w:rsidR="002D509E">
        <w:t xml:space="preserve"> </w:t>
      </w:r>
      <w:r>
        <w:t>wraz z wypełnioną kartą audytu energetycznego (wzór karty załączony do Regulaminu wyboru projektów) oraz świadectwo charakterystyki energetycznej dla budynku przed modernizacją energetyczną.</w:t>
      </w:r>
      <w:r>
        <w:br/>
        <w:t>Szablon audytu energetycznego oraz wzór karty audytu energetycznego zawierają również opracowany na potrzeby naboru podział na klasy energochłonności budynków.</w:t>
      </w:r>
      <w:r>
        <w:br/>
      </w:r>
      <w:r>
        <w:br/>
        <w:t>9. W przypadku budynków zabytkowych (objętych ochroną konserwatora zabytków), zakres wsparcia powinien wynikać z audytu energetycznego uzgodnionego z właściwym konserwatorem zabytków.</w:t>
      </w:r>
      <w:r>
        <w:br/>
      </w:r>
      <w:r>
        <w:br/>
        <w:t xml:space="preserve">10. Po zakończeniu realizacji projektu wymagane jest posiadanie dokumentu potwierdzającego </w:t>
      </w:r>
      <w:r>
        <w:lastRenderedPageBreak/>
        <w:t>wykonanie zakresu działań określonych w audycie.</w:t>
      </w:r>
      <w:r>
        <w:br/>
      </w:r>
      <w:r>
        <w:br/>
        <w:t>11. Konieczne jest wykonanie ekspertyzy ornitologicznej i chiropterologicznej oraz zapewnienie odpowiedniej ochrony ptaków i nietoperzy.</w:t>
      </w:r>
      <w:r>
        <w:br/>
      </w:r>
      <w:r>
        <w:br/>
        <w:t>12. Projekt jest zgodny z zasadą deinstytucjonalizacji.</w:t>
      </w:r>
      <w:r>
        <w:br/>
      </w:r>
      <w:r>
        <w:br/>
        <w:t>13. Uwzględnienie w projekcie działań edukacyjnych i świadomościowych wzmacniających walory ekologiczne projektu oraz zmierzających do zwiększenia świadomości i poziomu akceptacji społecznej dla polityki neutralności klimatycznej UE.</w:t>
      </w:r>
      <w:r>
        <w:br/>
      </w:r>
      <w:r>
        <w:br/>
        <w:t>14. Działanie będzie realizowane z uwzględnieniem zasad horyzontalnych (zgodnie z art. 9 Rozporządzenia Parlamentu Europejskiego i Rady (UE) nr 2021/1060 z dnia 24 czerwca 2021 r.), a obowiązek ich stosowania wynika z Umowy Partnerstwa, programu oraz wytycznych.</w:t>
      </w:r>
      <w:r>
        <w:br/>
      </w:r>
      <w:r>
        <w:br/>
        <w:t>15. 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r>
      <w:r>
        <w:br/>
        <w:t>Preferowane warunki wsparcia:</w:t>
      </w:r>
      <w:r>
        <w:br/>
      </w:r>
      <w:r>
        <w:br/>
        <w:t>Projekty kompleksowe, obejmujące również instalację urządzeń OZE.</w:t>
      </w:r>
      <w:r>
        <w:br/>
      </w:r>
      <w:r>
        <w:br/>
        <w:t>Projekty zakładające podłączenie do sieci ciepłowniczej.</w:t>
      </w:r>
      <w:r>
        <w:br/>
      </w:r>
      <w:r>
        <w:br/>
        <w:t>Projekty zwiększające w jak największym stopniu efektywność energetyczną.</w:t>
      </w:r>
      <w:r>
        <w:br/>
      </w:r>
      <w:r>
        <w:br/>
        <w:t>Projekty o jak największej efektywności kosztowej w powiązaniu z efektami oszczędnościowymi oraz redukcją gazów cieplarnianych.</w:t>
      </w:r>
      <w:r>
        <w:br/>
      </w:r>
      <w:r>
        <w:br/>
        <w:t>Projekty uwzględniające działania edukacyjne i świadomościowe wzmacniające walory ekologiczne projektu oraz zmierzające do zwiększenia świadomości i poziomu akceptacji społecznej dla polityki neutralności klimatycznej UE – premiowanie zgodnie z kryterium.</w:t>
      </w:r>
      <w:r>
        <w:br/>
      </w:r>
      <w:r>
        <w:br/>
        <w:t>Projekty realizowane w partnerstwie publiczno-prywatnym (projekty hybrydowe, zgodnie z art. 40 ustawy o zasadach realizacji zadań ze środków europejskich finansowanych w perspektywie finansowej 2021-2027), w tym projekty ESCO.</w:t>
      </w:r>
      <w:r>
        <w:br/>
      </w:r>
      <w:r>
        <w:br/>
        <w:t>Realizacja w projekcie zielonych zamówień publicznych w oparciu o opracowane przez KE wspólne kryteria możliwe do stosowania w państwach członkowskich Unii.</w:t>
      </w:r>
      <w:r>
        <w:br/>
      </w:r>
      <w:r>
        <w:lastRenderedPageBreak/>
        <w:br/>
        <w:t>Projekty ograniczające ubóstwo energetyczne.</w:t>
      </w:r>
      <w:r>
        <w:br/>
      </w:r>
      <w:r>
        <w:br/>
        <w:t>Wykorzystanie dobrych praktyk w zakresie ochrony środowiska, w szczególności standardów ochrony drzew.</w:t>
      </w:r>
      <w:r>
        <w:br/>
      </w:r>
      <w:r>
        <w:br/>
        <w:t>Zastosowane rozwiązania w zakresie obiegu cyrkularnego (w tym efektywności energetycznej i użycia energii z OZE), jak również elementy sprzyjające adaptacji do zmian klimatu (w szczególności zielona i niebieska infrastruktura).</w:t>
      </w:r>
      <w:r>
        <w:br/>
      </w:r>
      <w:r>
        <w:br/>
        <w:t xml:space="preserve">Wykorzystanie dobrych praktyk wynikających z projektów realizowanych z programów Interreg, LIFE+, Region Morza Bałtyckiego oraz Europa Środkowa związanych z transformacją energetyczną, szczególnie realizowanych w regionach transgranicznych Czech (Kraj Morawskośląski) i Słowacji (Kraj Żyliński). </w:t>
      </w:r>
      <w:r>
        <w:br/>
      </w:r>
      <w:r>
        <w:br/>
        <w:t>Projekty realizowane na Obszarach Strategicznej Interwencji, wskazanych w Strategii Województwa Śląskiego „Śląskie 2030”, w szczególności OSI Gminy z problemami środowiskowymi w zakresie jakości powietrza oraz OSI Obszary cenne przyrodniczo.</w:t>
      </w:r>
      <w:r>
        <w:br/>
      </w:r>
      <w:r>
        <w:br/>
        <w:t>Projekty realizujące założenia Nowego Europejskiego Bauhausu.</w:t>
      </w:r>
      <w:r>
        <w:br/>
      </w:r>
      <w:r>
        <w:br/>
        <w:t>Premiowane będą projekty, które mają istotny wkład w realizację jednego z sześciu celów środowiskowych określanych w rozporządzeniu (UE) 2020/852.</w:t>
      </w:r>
      <w:r>
        <w:br/>
      </w:r>
    </w:p>
    <w:p w14:paraId="02C50A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A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A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A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A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A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A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A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0A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A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A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A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A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A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A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A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A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A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2C50A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A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Służby publiczne, Zintegrowane Inwestycje Terytorialne (ZIT)</w:t>
      </w:r>
    </w:p>
    <w:p w14:paraId="02C50A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Typ beneficjenta – szczegółowy</w:t>
      </w:r>
    </w:p>
    <w:p w14:paraId="02C50A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Partnerstwa Publiczno-Prywatne, Podmioty świadczące usługi publiczne w ramach realizacji obowiązków własnych jednostek samorządu terytorialnego, Zintegrowane Inwestycje Terytorialne (ZIT)</w:t>
      </w:r>
    </w:p>
    <w:p w14:paraId="02C50A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A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budynki_mieszkalne, budynki_wielorodzinne, edukacja_ekologiczna, efektywność_energetyczna, modernizacja_energetyczna, OZE, termomodernizacja, ZIT</w:t>
      </w:r>
    </w:p>
    <w:p w14:paraId="02C50A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A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A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A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02C50A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02C50A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A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WLWK-PLRO237 - Liczba powstałych magazynów energii cieplnej</w:t>
      </w:r>
    </w:p>
    <w:p w14:paraId="02C50A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02C50A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A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A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02C50A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02C50A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02C50A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02C50A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02C50A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02C50A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WLWK-PLRO025 - Liczba zmodernizowanych źródeł ciepła (innych niż indywidualne)</w:t>
      </w:r>
    </w:p>
    <w:p w14:paraId="02C50A81" w14:textId="56CAAD1C"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w:t>
      </w:r>
      <w:r w:rsidR="002D509E">
        <w:t xml:space="preserve"> </w:t>
      </w:r>
      <w:r>
        <w:t>charakterystyce energetycznej</w:t>
      </w:r>
    </w:p>
    <w:p w14:paraId="02C50A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WLWK-RCO123 - Lokale mieszkalne wykorzystujące kotły i systemy ciepłownicze zasilane gazem ziemnym zastępujące instalacje zasilane stałymi paliwami kopalnymi</w:t>
      </w:r>
    </w:p>
    <w:p w14:paraId="02C50A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0A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WLWK-PLRO022 - Powierzchnia użytkowa budynków mieszkalnych poddanych termomodernizacji</w:t>
      </w:r>
    </w:p>
    <w:p w14:paraId="02C50A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WLWK-RCO075 - Wspierane strategie zintegrowanego rozwoju terytorialnego</w:t>
      </w:r>
    </w:p>
    <w:p w14:paraId="02C50A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A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02C50A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02C50A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02C50A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WLWK-PLRR011 - Ilość zaoszczędzonej energii elektrycznej</w:t>
      </w:r>
    </w:p>
    <w:p w14:paraId="02C50A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WLWK-PLRR009 - Liczba dodatkowych użytkowników podłączonych do sieci ciepłowniczej</w:t>
      </w:r>
    </w:p>
    <w:p w14:paraId="02C50A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A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WLWK-PLRR072 - Roczne zużycie energii pierwotnej w: lokalach mieszkalnych</w:t>
      </w:r>
    </w:p>
    <w:p w14:paraId="02C50A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02C50A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WLWK-RCR105 - Szacowana emisja gazów cieplarnianych z kotłów i systemów ciepłowniczych przekształconych z zasilania stałymi paliwami kopalnymi na zasilanie gazem</w:t>
      </w:r>
    </w:p>
    <w:p w14:paraId="02C50A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A91"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8" w:name="_Toc235079756"/>
      <w:r>
        <w:rPr>
          <w:rFonts w:ascii="Calibri" w:hAnsi="Calibri" w:cs="Calibri"/>
          <w:sz w:val="32"/>
        </w:rPr>
        <w:t>Działanie FESL.02.05 Efektywność energetyczna budynków użyteczności publicznej, mieszkalnych i przedsiębiorstw (IF)</w:t>
      </w:r>
      <w:bookmarkEnd w:id="18"/>
    </w:p>
    <w:p w14:paraId="02C50A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A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02C50A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A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136 876 572,00</w:t>
      </w:r>
    </w:p>
    <w:p w14:paraId="02C50A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A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116 345 086,00</w:t>
      </w:r>
    </w:p>
    <w:p w14:paraId="02C50A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A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038 - Projekty w zakresie efektywności energetycznej i projekty demonstracyjne w MŚP oraz działania wspierające, 042 - Renowacja istniejących budynków mieszkalnych pod kątem efektywności energetycznej, projekty demonstracyjne i działania wspierające zgodne z kryteriami efektywności energetycznej, 045 - Renowacja zwiększająca efektywność energetyczną lub działania w zakresie efektywności energetycznej w odniesieniu do infrastruktury publicznej, projekty demonstracyjne i działania wspierające zgodne z kryteriami efektywności energetycznej</w:t>
      </w:r>
    </w:p>
    <w:p w14:paraId="02C50A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A9B" w14:textId="02910585"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Realizacja działania zakłada powierzenie zadań jednemu Beneficjentowi zgodnie z art. 59, ust 3 </w:t>
      </w:r>
      <w:r>
        <w:lastRenderedPageBreak/>
        <w:t xml:space="preserve">rozporządzenia ramowego nr 2021/1060 z dnia 24 czerwca 2021 r., który będzie wdrażał instrument finansowy pełniąc rolę Funduszu Powierniczego. Beneficjent dokona wyboru podmiotów finansowych, które w roli funduszy szczegółowych będą udzielały wsparcia odbiorcom ostatecznym. </w:t>
      </w:r>
      <w:r>
        <w:br/>
        <w:t>Wsparcie zostanie przeznaczone na poprawę efektywności energetycznej:</w:t>
      </w:r>
      <w:r>
        <w:br/>
        <w:t>• budynków użyteczności publicznej, której właścicielem jest samorząd terytorialny oraz podległe mu organy i jednostki organizacyjne oraz jednostki zarządzane przez jst, a także budynków użyteczności publicznej nie związanych z administracją rządową, w których prowadzona jest działalność organizacji pozarządowych oraz innych podmiotów nie związanych z administracją rządową, budynkach instytucji nauki i edukacji, instytucji ochrony zdrowia, organizacji społecznych i związków wyznaniowych, partnerstw publiczno-prywatnych oraz budynków należących do podmiotów uprawnionych do wykonywania ratownictwa górskiego;</w:t>
      </w:r>
      <w:r>
        <w:br/>
        <w:t>• budynków wielorodzinnych (z wyjątkiem budynków będących własnością Skarbu Państwa), których właścicielem są wspólnoty mieszkaniowe, TBS, komunalne oraz inne, w tym osoby prywatne. Dopuszcza się finansowanie budynków, których właścicielem są spółdzielnie mieszkaniowe.</w:t>
      </w:r>
      <w:r>
        <w:br/>
        <w:t>Powyższe działania zmierzające do poprawy efektywności energetycznej mają na celu zmniejszenie wartości rocznego zapotrzebowania na energię pierwotną budynków.</w:t>
      </w:r>
      <w:r>
        <w:br/>
        <w:t>• mikro, małych i średnich przedsiębiorstw. Inwestycje realizowane będą poprzez modernizację energetyczną obiektu wraz z zastosowaniem instalacji do produkcji energii elektrycznej i/lub cieplnej ze źródeł odnawialnych na potrzeby własne przedsiębiorstwa. Wspierane będą projekty zakładające wykorzystanie technologii ograniczających energochłonność np. modernizacja i rozbudowa linii produkcyjnych na bardziej efektywne energetycznie, wymiana oświetlenia, zastosowanie energooszczędnych technologii produkcji i użytkowania energii, wprowadzenie systemów zarządzania energią, modernizacja systemu grzewczego, minimalizacja strat ciepła itp.;</w:t>
      </w:r>
      <w:r>
        <w:br/>
        <w:t>• oświetlenia przestrzeni publicznych – o wsparcie wnioskować będą mogli właściciele infrastruktury.</w:t>
      </w:r>
      <w:r>
        <w:br/>
        <w:t>Działania objęte wsparciem powinny uwzględniać elementy edukacyjne i świadomościowe związane z poprawą efektywności energetycznej.</w:t>
      </w:r>
      <w:r>
        <w:br/>
        <w:t>Wsparcie będzie oferowane na terenie całego województwa śląskiego.</w:t>
      </w:r>
      <w:r>
        <w:br/>
        <w:t>Realizacja inwestycji na obszarze objętym Programem Ochrony Powietrza dla województwa śląskiego zgodnego z art. 23 dyrektywy 2008/50/WE oraz w zakresie zgodnym z uchwałą antysmogową.</w:t>
      </w:r>
      <w:r>
        <w:br/>
        <w:t xml:space="preserve">Przewiduje się wsparcie dla jednostek organizacyjnych Województwa Śląskiego i spółek z udziałem Województwa Śląskiego. </w:t>
      </w:r>
      <w:r>
        <w:br/>
        <w:t>Wsparciem nie zostaną objęte budynki związane z administracją rządową tj. budynki, których właścicielem lub użytkownikiem jest organ władzy publicznej zarządzany centralnie, w tym państwowa jednostka budżetowa, jednostka administracji rządowej, podległy jej organ lub jednostka organizacyjna, a także państwowa osoba prawna (w rozumieniu ustawy z dnia 16 grudnia 2016 r. o zasadach zarządzania mieniem państwowym). Dopuszcza się możliwość wsparcia budynku użytkowanego przez organ władzy publicznej zarządzany centralnie w przypadku, gdy właścicielem budynku jest inny podmiot wpisujący się w katalog beneficjentów i nie wyłączony żadnymi innymi zapisami, np. gdy właścicielem budynku jest JST, wówczas o wsparcie powinien wnioskować właściciel budynku.</w:t>
      </w:r>
      <w:r>
        <w:br/>
        <w:t>Nie wyklucza się finansowania przedsiębiorstw usług energetycznych (ESCO) wyłącznie jako partnera jednego z wymienionych podmiotów uprawnionych do wsparcia pod warunkiem zapewnienia korzyści na poziomie tych wymienionych ostatecznych odbiorców.</w:t>
      </w:r>
      <w:r>
        <w:br/>
      </w:r>
      <w:r>
        <w:lastRenderedPageBreak/>
        <w:t>Pożyczka z elementem dotacyjnym będzie oferowana na warunkach korzystniejszych niż rynkowe. Wsparcie dotacyjne musi pozostawać w bezpośrednim związku z instrumentem finansowym. Szczegółowy zakres oraz warunki wsparcia będą doprecyzowane w Strategii Inwestycyjnej oraz w metryce produktu finansowego.</w:t>
      </w:r>
      <w:r>
        <w:br/>
        <w:t xml:space="preserve">Wsparcie udzielane jest wyłącznie na te elementy inwestycji, które nie są fizycznie ukończone lub w pełni wdrożone w dniu podjęcia decyzji inwestycyjnej. </w:t>
      </w:r>
      <w:r>
        <w:br/>
        <w:t>Preferowane będą projekty realizowane przez ostatecznych odbiorców w partnerstwie publiczno-prywatnym (art. 40 ustawy o zasadach realizacji zadań finansowanych ze środków europejskich w perspektywie finansowej 2021-2027) oraz projekty typu EPC.</w:t>
      </w:r>
      <w:r>
        <w:br/>
        <w:t>Zakres wsparcia będzie powiązany z wynikami audytu energetycznego. W uzasadnionych przypadkach mogą być finansowane elementy niewynikające z audytów energetycznych, jeżeli realizują inne elementy Europejskiego Zielonego Ładu oraz rozwiązania na rzecz GOZ i nie stanowią dominującej części projektu, zgodnie z zapisami Umowy Partnerstwa. Dodatkowe elementy wykraczające poza koszty wynikające z rekomendacji audytu energetycznego mogą stanowić max. 15% kosztów kwalifikowanych projektu.</w:t>
      </w:r>
      <w:r>
        <w:br/>
        <w:t xml:space="preserve">W ramach inwestycji w budynku, gdzie przeprowadzana jest termomodernizacja możliwa będzie wynikająca z audytu energetycznego: instalacja urządzeń OZE, instalacja magazynów energii, wymiana/modernizacja źródeł ciepła lub podłączenie do sieci ciepłowniczej/chłodniczej, wymiana bądź modernizacja instalacji CO i CWU, wymiana oświetlenia na energooszczędne (w tym systemy zarządzania oświetleniem obiektu) oraz przebudowa systemów wentylacji i klimatyzacji. </w:t>
      </w:r>
      <w:r>
        <w:br/>
        <w:t>W przypadku budynków i obiektów użyteczności publicznej oraz budynków służących celom społecznym, zapewniającym bezpieczeństwo osób i mienia dopuszcza się dostosowanie zgodne z koncepcją dual-use, pozwalające na wykorzystanie ich w przypadku wystąpienia zdarzeń kryzysowych (w tym m. in. instalację magazynów energii off-grid).</w:t>
      </w:r>
      <w:r>
        <w:br/>
        <w:t>W ramach projektu termomodernizacyjnego wsparcie może zostać przeznaczone także na innowacyjne systemy do monitorowania i zużycia energii oraz inteligentne rozwiązania ograniczające zużycie energii.</w:t>
      </w:r>
      <w:r>
        <w:br/>
        <w:t>Projekty związane z wymianą źródła ciepła powinny być połączone z odpowiednią termomodernizacją budynku oraz w pierwszej kolejności oparte na odnawialnych źródłach energii, w przypadku gdy nie ma takiej możliwości należy rozważyć podłączenie do sieci ciepłowniczej, a następnie pozostałe dopuszczalne do zastosowania źródła ciepła.</w:t>
      </w:r>
      <w:r>
        <w:br/>
        <w:t>Planuje się skorzystanie z opcji przewidzianej w art. 58 ust. 5 rozp. ogólnego 2021-2027 w celu skrócenia okresu zwrotu z inwestycji. Wsparcie dotacyjne w ramach instrumentu będzie uzależnione od osiągniętych efektów oszczędności energetycznej i redukcji emisji CO2 w stosunku do stanu wyjściowego.</w:t>
      </w:r>
      <w:r>
        <w:br/>
        <w:t>Koszty kwalifikowalne obejmą między innymi działania/dokumentacje przygotowawcze i powykonawcze (ekspertyzy, audyty).</w:t>
      </w:r>
      <w:r>
        <w:br/>
      </w:r>
      <w:r>
        <w:br/>
        <w:t>We wszystkich działaniach i we wszystkich projektach, w których będzie to zasadne i możliwe zostaną zastosowane rozwiązania w zakresie obiegu cyrkularnego (w tym efektywności energetycznej i użycia energii ze źródeł odnawialnych) jak również elementy sprzyjające adaptacji do zmiany klimatu i łagodzeniu jej skutków (w szczególności zielona i niebieska infrastruktura). Przy realizacji inwestycji zalecane jest wykorzystanie dobrych praktyk w zakresie ochrony drzew (https://www.gov.pl/web/nfosigw/standardy-ochrony-drzew, http://drzewa.org.pl/standardy).</w:t>
      </w:r>
      <w:r>
        <w:br/>
      </w:r>
      <w:r>
        <w:lastRenderedPageBreak/>
        <w:br/>
        <w:t>Dopuszczalne będą wydatki poniesione na podniesienie poziomu cyberbezpieczeństwa, zgodnie ze standardami wyznaczonymi w ramach krajowego systemu cyberbezpieczeństwa, bez powielania funkcji inwestycji prowadzonych z poziomu krajowego.</w:t>
      </w:r>
      <w:r>
        <w:br/>
      </w:r>
      <w:r>
        <w:br/>
        <w:t>W stosownych przypadkach oraz w zależności od zakresu, realizowane inwestycje odbiorców ostatecznych będą łączyć zasady zrównoważonego rozwoju, estetyki i włączenia, zgodnie z ideą inicjatywy Nowy Europejski Bauhaus.</w:t>
      </w:r>
      <w:r>
        <w:br/>
        <w:t xml:space="preserve">Obligatoryjne warunki wsparcia: </w:t>
      </w:r>
      <w:r>
        <w:br/>
        <w:t>•</w:t>
      </w:r>
      <w:r>
        <w:tab/>
        <w:t>audyt energetyczny – wskazujący zakres i zasadność modernizacji;</w:t>
      </w:r>
      <w:r>
        <w:br/>
        <w:t>•</w:t>
      </w:r>
      <w:r w:rsidR="002D509E">
        <w:t xml:space="preserve"> </w:t>
      </w:r>
      <w:r>
        <w:t>brak wsparcia dla indywidualnych kotłów gazowych, za wyjątkiem hybrydowych systemów grzewczych tj. systemów opartych na integralnym połączeniu różnych urządzeń zasilanych OZE i gazem. Integralność polega na współdziałaniu oraz wspólnym i automatycznym sterowaniu różnymi źródłami ciepła, wchodzącymi w skład systemu (np. połączenie kotła gazowego z energią słoneczną termiczną lub pompą ciepła);</w:t>
      </w:r>
      <w:r>
        <w:br/>
        <w:t>•</w:t>
      </w:r>
      <w:r>
        <w:tab/>
        <w:t>dokument potwierdzający wykonanie zakresu działań określonych w audycie energetycznym (po zakończeniu realizacji projektu);</w:t>
      </w:r>
      <w:r>
        <w:br/>
        <w:t>•</w:t>
      </w:r>
      <w:r>
        <w:tab/>
        <w:t>zwiększenie efektywności energetycznej (obliczanej dla energii pierwotnej) o co najmniej 30% dzięki realizacji projektu - warunek nie dotyczy</w:t>
      </w:r>
      <w:r w:rsidR="002D509E">
        <w:t xml:space="preserve"> </w:t>
      </w:r>
      <w:r>
        <w:t>budynków zabytkowych, które są objęte ochroną konserwatora zabytków;</w:t>
      </w:r>
      <w:r>
        <w:br/>
        <w:t>•</w:t>
      </w:r>
      <w:r>
        <w:tab/>
        <w:t>zgodność z unijnymi standardami i przepisami w zakresie ochrony środowiska oraz Zaleceniami Komisji Europejskiej (UE) 2019/786 z dnia 8 maja 2019 r. w sprawie renowacji budynków;</w:t>
      </w:r>
      <w:r>
        <w:br/>
        <w:t>•</w:t>
      </w:r>
      <w:r w:rsidR="002D509E">
        <w:t xml:space="preserve"> </w:t>
      </w:r>
      <w:r>
        <w:t>zgodność z Dyrektywą Parlamentu Europejskiego i Rady (UE) 2024/1275 z dnia 24 kwietnia 2024 r. w sprawie charakterystyki energetycznej budynków (EPBD);</w:t>
      </w:r>
      <w:r>
        <w:br/>
        <w:t>•</w:t>
      </w:r>
      <w:r>
        <w:tab/>
        <w:t>ekspertyza ornitologiczna i/lub chiropterologiczna oraz zapewnienie odpowiedniej ochrony ptaków i nietoperzy.</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Projekt jest zgodny z zasadą deinstytucjonalizacji.</w:t>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p>
    <w:p w14:paraId="02C50A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A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A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0A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2C50A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A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A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A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w:t>
      </w:r>
    </w:p>
    <w:p w14:paraId="02C50A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A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02C50A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A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Wsparcie poprzez instrumenty finansowe: dotacje w ramach operacji instrumentu finansowego, Wsparcie poprzez instrumenty finansowe: pożyczka</w:t>
      </w:r>
    </w:p>
    <w:p w14:paraId="02C50A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A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A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A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0A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A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A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A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w:t>
      </w:r>
    </w:p>
    <w:p w14:paraId="02C50A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A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Instytucje finansowe</w:t>
      </w:r>
    </w:p>
    <w:p w14:paraId="02C50A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A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budynki_użyteczności_publicznej, budynki_wielorodzinne, neutralność_klimatyczna, oświetlenie, oszczędność_energii, pożyczki_dla_przedsiębiorstw, redukcja_emisji_CO2, termomodernizacja, zielona_energia, zmniejszenie_emisji</w:t>
      </w:r>
    </w:p>
    <w:p w14:paraId="02C50A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A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02C50A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0A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0A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0AB9" w14:textId="26779AED"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w:t>
      </w:r>
      <w:r w:rsidR="002D509E">
        <w:t xml:space="preserve"> </w:t>
      </w:r>
      <w:r>
        <w:t>charakterystyce energetycznej</w:t>
      </w:r>
    </w:p>
    <w:p w14:paraId="02C50A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WLWK-RCO003 - Przedsiębiorstwa objęte wsparciem z instrumentów finansowych</w:t>
      </w:r>
    </w:p>
    <w:p w14:paraId="02C50A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A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WLWK-PLRR073 - Roczne zużycie energii pierwotnej w: budynkach publicznych</w:t>
      </w:r>
    </w:p>
    <w:p w14:paraId="02C50A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WLWK-PLRR072 - Roczne zużycie energii pierwotnej w: lokalach mieszkalnych</w:t>
      </w:r>
    </w:p>
    <w:p w14:paraId="02C50A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WLWK-PLRR074 - Roczne zużycie energii pierwotnej w: przedsiębiorstwach</w:t>
      </w:r>
    </w:p>
    <w:p w14:paraId="02C50A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WLWK-RCR026 - Roczne zużycie energii pierwotnej (w tym: w lokalach mieszkalnych, budynkach publicznych, przedsiębiorstwach, innych)</w:t>
      </w:r>
    </w:p>
    <w:p w14:paraId="02C50A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02C50A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AC2"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9" w:name="_Toc235079757"/>
      <w:r>
        <w:rPr>
          <w:rFonts w:ascii="Calibri" w:hAnsi="Calibri" w:cs="Calibri"/>
          <w:sz w:val="32"/>
        </w:rPr>
        <w:t>Działanie FESL.02.06 Odnawialne źródła energii</w:t>
      </w:r>
      <w:bookmarkEnd w:id="19"/>
    </w:p>
    <w:p w14:paraId="02C50A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A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EFRR/FS.CP2.II - Wspieranie energii odnawialnej zgodnie z dyrektywą (UE) 2018/2001, w tym określonymi w niej kryteriami zrównoważonego rozwoju</w:t>
      </w:r>
    </w:p>
    <w:p w14:paraId="02C50A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A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14 444 445,00</w:t>
      </w:r>
    </w:p>
    <w:p w14:paraId="02C50A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A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13 000 000,00</w:t>
      </w:r>
    </w:p>
    <w:p w14:paraId="02C50A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A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046 - Wsparcie dla podmiotów, które świadczą usługi wspierające gospodarkę niskoemisyjną i odporność na zmiany klimatu, w tym działania w zakresie zwiększania świadomości, 047 - Energia odnawialna: wiatrowa, 048 - Energia odnawialna: słoneczna, 049 - Energia odnawialna: biomasa, 050 - Energia odnawialna: biomasa o wysokim poziomie redukcji emisji gazów cieplarnianych, 052 - Inne rodzaje energii odnawialnej (w tym energia geotermalna)</w:t>
      </w:r>
    </w:p>
    <w:p w14:paraId="02C50A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ACC" w14:textId="50AAE505"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projektu</w:t>
      </w:r>
      <w:r>
        <w:br/>
      </w:r>
      <w:r>
        <w:br/>
        <w:t>W ramach działania przewiduje się realizację następujących typów projektów:</w:t>
      </w:r>
      <w:r>
        <w:br/>
        <w:t>1.</w:t>
      </w:r>
      <w:r>
        <w:tab/>
        <w:t>Magazyny energii elektrycznej i cieplnej, na potrzeby istniejącej instalacji OZE (projekty inne niż parasolowe i grantowe).</w:t>
      </w:r>
      <w:r>
        <w:br/>
        <w:t>2.</w:t>
      </w:r>
      <w:r>
        <w:tab/>
        <w:t>Magazyny energii elektrycznej i cieplnej, na potrzeby istniejącej instalacji OZE (projekty parasolowe i grantowe).</w:t>
      </w:r>
      <w:r>
        <w:br/>
      </w:r>
      <w:r>
        <w:br/>
        <w:t>Ostateczny poziom dofinansowania zostanie ustalony w regulaminie wyboru projektów.</w:t>
      </w:r>
      <w:r>
        <w:br/>
        <w:t>Wsparciem objęte zostanie m.in.:</w:t>
      </w:r>
      <w:r>
        <w:br/>
      </w:r>
      <w:r>
        <w:br/>
        <w:t>1.</w:t>
      </w:r>
      <w:r>
        <w:tab/>
        <w:t>Zakup i montaż magazynów i niezbędnej infrastruktury służącej do magazynowania (na potrzeby danej instalacji OZE) energii elektrycznej i cieplnej z odnawialnych źródeł opartych na energii:</w:t>
      </w:r>
      <w:r>
        <w:br/>
        <w:t xml:space="preserve">– wiatru (np. turbiny wiatrowe); </w:t>
      </w:r>
      <w:r>
        <w:br/>
        <w:t xml:space="preserve">– promieniowania słonecznego (np. panele fotowoltaiczne, kolektory słoneczne); </w:t>
      </w:r>
      <w:r>
        <w:br/>
        <w:t xml:space="preserve">– aerotermalnej (np. powietrzne pompy ciepła); </w:t>
      </w:r>
      <w:r>
        <w:br/>
        <w:t xml:space="preserve">– geotermalnej (np. ciepłownie geotermalne); </w:t>
      </w:r>
      <w:r>
        <w:br/>
        <w:t xml:space="preserve">– hydrotermalnej (np. pompy ciepła); </w:t>
      </w:r>
      <w:r>
        <w:br/>
        <w:t xml:space="preserve">– hydroenergii (np. elektrownia wodna); </w:t>
      </w:r>
      <w:r>
        <w:br/>
        <w:t>– pochodzącej z biomasy, biogazu, biogazu rolniczego i biopłynów.</w:t>
      </w:r>
      <w:r>
        <w:br/>
        <w:t xml:space="preserve"> </w:t>
      </w:r>
      <w:r>
        <w:br/>
        <w:t>2.</w:t>
      </w:r>
      <w:r>
        <w:tab/>
        <w:t>Działania edukacyjno-informacyjne dotyczące korzyści z zastosowania OZE, magazynowania energii oraz promocji alternatywnych źródeł energii, jak również podnoszenia świadomości i wiedzy w zakresie wykorzystania OZE (wyłącznie jako uzupełniająca część projektu).</w:t>
      </w:r>
      <w:r>
        <w:br/>
      </w:r>
      <w:r>
        <w:br/>
        <w:t>3.</w:t>
      </w:r>
      <w:r>
        <w:tab/>
        <w:t>Projekty dotyczące energetyki rozproszonej i prosumenckiej, w tym:</w:t>
      </w:r>
      <w:r>
        <w:br/>
        <w:t>projekty prosumentów zbiorowych i wirtualnych, projekty grantowe (zgodnie z art. 41 ustawy o zasadach realizacji zadań finansowanych ze środków europejskich w perspektywie finansowej 2021-2027) i projekty parasolowe (projekt, w którym jeden podmiot np. gmina wnioskuje na rzecz odbiorców końcowych np. mieszkańców).</w:t>
      </w:r>
      <w:r>
        <w:br/>
      </w:r>
      <w:r>
        <w:br/>
        <w:t>4.</w:t>
      </w:r>
      <w:r>
        <w:tab/>
        <w:t xml:space="preserve">Projekty realizowane przez społeczności energetyczne w tym: klastry energii i spółdzielnie energetyczne (w rozumieniu ustawy o odnawialnych źródłach energii), wnioskodawca musi się wpisywać w katalog typów beneficjentów. </w:t>
      </w:r>
      <w:r>
        <w:br/>
      </w:r>
      <w:r>
        <w:lastRenderedPageBreak/>
        <w:br/>
        <w:t>5.</w:t>
      </w:r>
      <w:r>
        <w:tab/>
        <w:t>Projekty realizowane w uzgodnieniu z Lokalnymi Grupami Działania, odpowiadające potrzebom lokalnym; wnioskodawca musi się wpisywać w katalog typów beneficjentów. Weryfikacja zgodności projektu z celami strategii rozwoju lokalnego kierowanego przez społeczność (LSR) nastąpi na podstawie potwierdzenia wystawionego przez Lokalną Grupę Działania. Wsparcie oferowane będzie dla projektów realizowanych na obszarze ww. strategii realizowanej w ramach umowy o warunkach i sposobie realizacji strategii rozwoju lokalnego kierowanego przez społeczność lokalną zawartej z Zarządem Województwa Śląskiego.</w:t>
      </w:r>
      <w:r w:rsidR="002D509E">
        <w:t xml:space="preserve"> </w:t>
      </w:r>
      <w:r>
        <w:br/>
      </w:r>
      <w:r>
        <w:br/>
        <w:t>6.</w:t>
      </w:r>
      <w:r>
        <w:tab/>
        <w:t>Projekty realizowane w formie projektów hybrydowych (art. 40 ustawy o zasadach realizacji zadań finansowanych ze środków europejskich w perspektywie finansowej 2021-2027) oraz projektów partnerskich (art. 39 ustawy o zasadach realizacji zadań finansowanych ze środków europejskich w perspektywie finansowej 2021-2027) - wnioskodawca musi się wpisywać w katalog typów beneficjentów.</w:t>
      </w:r>
      <w:r>
        <w:br/>
      </w:r>
      <w:r>
        <w:br/>
        <w:t xml:space="preserve">Obligatoryjne warunki wsparcia: </w:t>
      </w:r>
      <w:r>
        <w:br/>
      </w:r>
      <w:r>
        <w:br/>
        <w:t>1.</w:t>
      </w:r>
      <w:r>
        <w:tab/>
        <w:t xml:space="preserve">Wsparcie oferowane będzie dla projektów realizowanych na obszarze subregionu północnego województwa śląskiego. </w:t>
      </w:r>
      <w:r>
        <w:br/>
        <w:t>2.</w:t>
      </w:r>
      <w:r>
        <w:tab/>
        <w:t>Wsparcie przeznaczone jest na rozbudowę istniejących instalacji do produkcji energii i ciepła z OZE o magazyny energii działające na potrzeby istniejącego źródła.</w:t>
      </w:r>
      <w:r w:rsidR="002D509E">
        <w:t xml:space="preserve"> </w:t>
      </w:r>
      <w:r>
        <w:br/>
      </w:r>
      <w:r>
        <w:br/>
        <w:t>3.</w:t>
      </w:r>
      <w:r>
        <w:tab/>
        <w:t>Zgodność z limitem dla mocy instalacji OZE, dla której jest planowany magazyn:</w:t>
      </w:r>
      <w:r>
        <w:br/>
        <w:t>•</w:t>
      </w:r>
      <w:r>
        <w:tab/>
        <w:t xml:space="preserve">energia elektryczna: </w:t>
      </w:r>
      <w:r>
        <w:br/>
        <w:t xml:space="preserve">- wiatr: nie więcej niż 5 MWe, </w:t>
      </w:r>
      <w:r>
        <w:br/>
        <w:t xml:space="preserve">- biomasa: nie więcej niż 5 MWe, </w:t>
      </w:r>
      <w:r>
        <w:br/>
        <w:t xml:space="preserve">- biogaz: nie więcej niż 0,5 MWe, </w:t>
      </w:r>
      <w:r>
        <w:br/>
        <w:t xml:space="preserve">- woda: nie więcej niż 5 MWe, </w:t>
      </w:r>
      <w:r>
        <w:br/>
        <w:t xml:space="preserve">- promieniowanie słoneczne: nie więcej niż 0,5 MWe. </w:t>
      </w:r>
      <w:r>
        <w:br/>
        <w:t>•</w:t>
      </w:r>
      <w:r>
        <w:tab/>
        <w:t xml:space="preserve">energia cieplna: </w:t>
      </w:r>
      <w:r>
        <w:br/>
        <w:t xml:space="preserve">- biomasa: nie więcej niż 5 MWth, </w:t>
      </w:r>
      <w:r>
        <w:br/>
        <w:t xml:space="preserve">- promieniowanie słoneczne: nie więcej niż 0,5 MWth, </w:t>
      </w:r>
      <w:r>
        <w:br/>
        <w:t xml:space="preserve">- geotermia: nie więcej niż 2 MWth, </w:t>
      </w:r>
      <w:r>
        <w:br/>
        <w:t xml:space="preserve">- biogaz: nie więcej niż 0,5 MWth. </w:t>
      </w:r>
      <w:r>
        <w:br/>
      </w:r>
      <w:r>
        <w:br/>
        <w:t xml:space="preserve">Limit dotyczy sumarycznej mocy wszystkich jednostek wytwórczych danego rodzaju OZE wchodzących w skład projektu. </w:t>
      </w:r>
      <w:r>
        <w:br/>
        <w:t>Zaproponowane limity mocy nie dotyczą projektów realizowanych przez klastry energii lub spółdzielnie energetyczne oraz projektów parasolowych i projektów grantowych.</w:t>
      </w:r>
      <w:r w:rsidR="002D509E">
        <w:t xml:space="preserve"> </w:t>
      </w:r>
      <w:r>
        <w:br/>
      </w:r>
      <w:r>
        <w:br/>
        <w:t>4.</w:t>
      </w:r>
      <w:r>
        <w:tab/>
        <w:t>W zakresie energetyki wodnej:</w:t>
      </w:r>
      <w:r>
        <w:br/>
        <w:t>- współfinansowane będą tylko projekty na już istniejących budowlach</w:t>
      </w:r>
      <w:r>
        <w:br/>
        <w:t xml:space="preserve">piętrzących, niemające negatywnego wpływu na stan lub potencjał jednolitych części wód, </w:t>
      </w:r>
      <w:r>
        <w:lastRenderedPageBreak/>
        <w:t>wyposażonych w hydroelektrownie, przy jednoczesnym zapewnieniu pełnej drożności budowli dla przemieszczeń fauny wodnej;</w:t>
      </w:r>
      <w:r>
        <w:br/>
        <w:t>- projekty muszą być zgodne z obowiązującymi Planami Gospodarowania Wodami w Dorzeczach;</w:t>
      </w:r>
      <w:r>
        <w:br/>
        <w:t>- projekty nie mogą mieć negatywnego wpływu na stan lub potencjał jednolitych części wód, wyposażonych w hydroelektrownie, przy jednoczesnym zapewnieniu pełnej drożności budowli dla przemieszczeń fauny wodnej.</w:t>
      </w:r>
      <w:r>
        <w:br/>
      </w:r>
      <w:r>
        <w:br/>
        <w:t>5.</w:t>
      </w:r>
      <w:r>
        <w:tab/>
        <w:t>Wspierane inwestycje nie mogą:</w:t>
      </w:r>
      <w:r>
        <w:br/>
        <w:t>- powodować nieosiągnięcia dobrego stanu lub potencjału jednolitych części wód,</w:t>
      </w:r>
      <w:r>
        <w:br/>
        <w:t>- pogarszać stanu lub potencjału jednolitych części wód,</w:t>
      </w:r>
      <w:r>
        <w:br/>
        <w:t>- mieć znaczącego wpływu na cele ochrony obszarów objętych siecią Natura 2000.</w:t>
      </w:r>
      <w:r>
        <w:br/>
      </w:r>
      <w:r>
        <w:br/>
        <w:t>6.</w:t>
      </w:r>
      <w:r>
        <w:tab/>
        <w:t>Projekty powinny cechować się odpowiednią efektywnością kosztową w powiązaniu z osiąganymi efektami ekologicznymi w stosunku do planowanych nakładów finansowych.</w:t>
      </w:r>
      <w:r>
        <w:br/>
      </w:r>
      <w:r>
        <w:br/>
        <w:t>7.</w:t>
      </w:r>
      <w:r>
        <w:tab/>
        <w:t>Projekt jest zgodny z zasadą deinstytucjonalizacji.</w:t>
      </w:r>
      <w:r>
        <w:br/>
      </w:r>
      <w:r>
        <w:br/>
        <w:t>8.</w:t>
      </w:r>
      <w:r>
        <w:tab/>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9. 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10.</w:t>
      </w:r>
      <w:r>
        <w:tab/>
        <w:t>Warunki dotyczące typów beneficjentów:</w:t>
      </w:r>
      <w:r>
        <w:br/>
        <w:t>10.1.</w:t>
      </w:r>
      <w:r>
        <w:tab/>
        <w:t>Jednostki samorządu terytorialnego – do tego typu zalicza się również związki jst, stowarzyszenia jst, związek metropolitalny.</w:t>
      </w:r>
      <w:r>
        <w:br/>
        <w:t>10.2.</w:t>
      </w:r>
      <w:r>
        <w:tab/>
        <w:t>Przedsiębiorca realizujący cele publiczne – oznacza spółkę z większościowym udziałem jst, ich związku, ich stowarzyszenia, związku metropolitalnego.</w:t>
      </w:r>
      <w:r>
        <w:br/>
        <w:t>10.3.</w:t>
      </w:r>
      <w:r>
        <w:tab/>
        <w:t>Wspólnoty energetyczne, w tym klastry energii i spółdzielnie energetyczne - wnioskować o wsparcie może tylko podmiot wpisujący się do katalogu beneficjentów.</w:t>
      </w:r>
      <w:r>
        <w:br/>
        <w:t>10.4.</w:t>
      </w:r>
      <w:r>
        <w:tab/>
        <w:t>Instytucje kultury i sportu – oznacza publiczne instytucje kultury i sportu.</w:t>
      </w:r>
      <w:r>
        <w:br/>
        <w:t>10.5.</w:t>
      </w:r>
      <w:r>
        <w:tab/>
        <w:t>Niepubliczne zakłady opieki zdrowotnej – wymagany jest kontrakt z NFZ dla świadczeń w budynku, w którym realizowany jest projekt.</w:t>
      </w:r>
      <w:r>
        <w:br/>
        <w:t>10.6.</w:t>
      </w:r>
      <w:r>
        <w:tab/>
        <w:t>Uzdrowiska - funkcjonujące w publicznym systemie opieki zdrowotnej (wymagany jest kontrakt z NFZ lub z innym publicznym płatnikiem dla świadczeń w budynku, którego dotyczy projekt).</w:t>
      </w:r>
      <w:r>
        <w:br/>
        <w:t>10.7.</w:t>
      </w:r>
      <w:r>
        <w:tab/>
        <w:t>Uczelnie – tylko publiczne.</w:t>
      </w:r>
      <w:r>
        <w:br/>
        <w:t>10.8.</w:t>
      </w:r>
      <w:r>
        <w:tab/>
        <w:t>Organizacja badawcze – tylko publiczne organizacje badawcze.</w:t>
      </w:r>
      <w:r>
        <w:br/>
        <w:t>10.9.</w:t>
      </w:r>
      <w:r>
        <w:tab/>
        <w:t>Jednostki naukowe – tylko publiczne jednostki naukowe.</w:t>
      </w:r>
      <w:r>
        <w:br/>
        <w:t>10.10.</w:t>
      </w:r>
      <w:r>
        <w:tab/>
        <w:t>Instytucje rynku pracy – tylko publiczne instytucje rynku pracy.</w:t>
      </w:r>
      <w:r>
        <w:br/>
      </w:r>
      <w:r>
        <w:lastRenderedPageBreak/>
        <w:br/>
      </w:r>
      <w:r>
        <w:br/>
        <w:t>Preferowane warunki wsparcia:</w:t>
      </w:r>
      <w:r>
        <w:br/>
      </w:r>
      <w:r>
        <w:br/>
        <w:t>1.</w:t>
      </w:r>
      <w:r>
        <w:tab/>
        <w:t>Realizacja zielonych zamówień publicznych w oparciu o opracowane przez KE wspólne kryteria możliwe do stosowania w państwach członkowskich Unii.</w:t>
      </w:r>
      <w:r>
        <w:br/>
      </w:r>
      <w:r>
        <w:br/>
        <w:t>2.</w:t>
      </w:r>
      <w:r>
        <w:tab/>
        <w:t>Zastosowanie rozwiązania w zakresie obiegu cyrkularnego (w tym efektywności energetycznej i użycia energii z OZE), jak również elementy sprzyjające adaptacji do zmian klimatu (w szczególności zielona i niebieska infrastruktura) - w projektach, których będzie to zasadne i możliwe.</w:t>
      </w:r>
      <w:r>
        <w:br/>
      </w:r>
      <w:r>
        <w:br/>
        <w:t>3.</w:t>
      </w:r>
      <w:r>
        <w:tab/>
        <w:t>Projekty wykorzystujące dobre praktyki wynikające z projektów realizowanych w programach Interreg, LIFE+, Region Morza Bałtyckiego oraz Europa Środkowa związanych z transformacją energetyczną, szczególnie realizowanych w regionach transgranicznych Czech (Kraj Morawsko – Śląski) i Słowacji (Kraj Żyliński).</w:t>
      </w:r>
      <w:r>
        <w:br/>
      </w:r>
      <w:r>
        <w:br/>
        <w:t>4.</w:t>
      </w:r>
      <w:r>
        <w:tab/>
        <w:t>Projekty realizowane na Obszarach Strategicznej Interwencji, wskazanych w Strategii Województwa Śląskiego „Śląskie 2030”, w szczególności OSI Gminy z problemami środowiskowymi w zakresie jakości powietrza oraz OSI Obszary cenne przyrodniczo.</w:t>
      </w:r>
      <w:r>
        <w:br/>
      </w:r>
      <w:r>
        <w:br/>
        <w:t>5.</w:t>
      </w:r>
      <w:r>
        <w:tab/>
        <w:t>Projekty realizujące założenia Nowego Europejskiego Bauhausu.</w:t>
      </w:r>
      <w:r>
        <w:br/>
      </w:r>
      <w:r>
        <w:br/>
        <w:t>6.</w:t>
      </w:r>
      <w:r>
        <w:tab/>
        <w:t>Premiowane będą projekty, które mają istotny wkład w realizację jednego z sześciu celów środowiskowych określanych w rozporządzeniu (UE) 2020/852.</w:t>
      </w:r>
      <w:r>
        <w:br/>
      </w:r>
    </w:p>
    <w:p w14:paraId="02C50A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A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0A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A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0A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A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A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A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0A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A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A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A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A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A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A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A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A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A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A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A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ochrony zdrowia, Organizacje społeczne i związki wyznaniowe, Partnerstwa, Przedsiębiorstwa realizujące cele publiczne, Służby publiczne</w:t>
      </w:r>
    </w:p>
    <w:p w14:paraId="02C50A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A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Instytucje kultury, Instytucje odpowiedzialne za gospodarkę wodną, Instytucje rynku pracy, Instytucje sportu, Jednostki naukowe, Jednostki organizacyjne działające w imieniu jednostek samorządu terytorialnego, Jednostki rządowe i samorządowe ochrony środowiska, Jednostki Samorządu Terytorialnego, Kościoły i związki wyznaniowe, Lasy Państwowe, parki narodowe i krajobrazowe, Niepubliczne zakłady opieki zdrowotnej, Organizacje badawcze, Organizacje pozarządowe, Partnerstwa Publiczno-Prywatne, Policja, straż pożarna i służby ratownicze, Prokuratura, Publiczne zakłady opieki zdrowotnej, Rządowe organizacje turystyczne, Spółki wodne, Uczelnie, Uzdrowiska, Wspólnoty energetyczne, w tym klastry energii i spółdzielnie energetyczne, Wspólnoty, spółdzielnie mieszkaniowe, TBS i SIM, Wymiar sprawiedliwości</w:t>
      </w:r>
    </w:p>
    <w:p w14:paraId="02C50A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A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czysta_energia, energetyka_rozproszona, energia_z_OZE, magazyn_energii, OZE</w:t>
      </w:r>
    </w:p>
    <w:p w14:paraId="02C50A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A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0A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A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A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A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A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WLWK-PLRO237 - Liczba powstałych magazynów energii cieplnej</w:t>
      </w:r>
    </w:p>
    <w:p w14:paraId="02C50A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02C50A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A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A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WLWK-RCO097 - Liczba wspartych społeczności energetycznych działających w zakresie energii odnawialnej</w:t>
      </w:r>
    </w:p>
    <w:p w14:paraId="02C50A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WLWK-PLRO208 - Pojemność magazynów energii elektrycznej</w:t>
      </w:r>
    </w:p>
    <w:p w14:paraId="02C50A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A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A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AF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0" w:name="_Toc235079758"/>
      <w:r>
        <w:rPr>
          <w:rFonts w:ascii="Calibri" w:hAnsi="Calibri" w:cs="Calibri"/>
          <w:sz w:val="32"/>
        </w:rPr>
        <w:lastRenderedPageBreak/>
        <w:t>Działanie FESL.02.07 Odnawialne źródła energii (IF)</w:t>
      </w:r>
      <w:bookmarkEnd w:id="20"/>
    </w:p>
    <w:p w14:paraId="02C50A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A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EFRR/FS.CP2.II - Wspieranie energii odnawialnej zgodnie z dyrektywą (UE) 2018/2001, w tym określonymi w niej kryteriami zrównoważonego rozwoju</w:t>
      </w:r>
    </w:p>
    <w:p w14:paraId="02C50A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A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19 030 363,00</w:t>
      </w:r>
    </w:p>
    <w:p w14:paraId="02C50A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A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16 175 808,00</w:t>
      </w:r>
    </w:p>
    <w:p w14:paraId="02C50A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A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047 - Energia odnawialna: wiatrowa, 048 - Energia odnawialna: słoneczna, 049 - Energia odnawialna: biomasa, 050 - Energia odnawialna: biomasa o wysokim poziomie redukcji emisji gazów cieplarnianych, 052 - Inne rodzaje energii odnawialnej (w tym energia geotermalna)</w:t>
      </w:r>
    </w:p>
    <w:p w14:paraId="02C50A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AFE" w14:textId="248EB416"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Realizacja działania zakłada powierzenie zadań jednemu Beneficjentowi zgodnie z art. 59, ust 3 rozporządzenia ramowego nr 2021/1060 z dnia 24 czerwca 2021 r., który będzie wdrażał instrument finansowy pełniąc rolę Funduszu Powierniczego. Beneficjent dokona wyboru podmiotów finansowych, które w roli funduszy szczegółowych będą udzielały wsparcia odbiorcom ostatecznym. </w:t>
      </w:r>
      <w:r>
        <w:br/>
        <w:t xml:space="preserve">Ostateczni odbiorcy wsparcia to m.in podmioty tworzące lub rozbudowujące infrastrukturę do wytwarzania i magazynowania (na potrzeby danego źródła) energii elektrycznej i cieplnej z odnawialnych źródeł energii za wyjątkiem przedsiębiorstw. Wsparcie na infrastrukturę OZE dla przedsiębiorstw oferowane jest w Działaniu 2.5. Efektywność energetyczna budynków użyteczności publicznej, mieszkalnych i przedsiębiorstw (IF). Dodatkowo rozwiązania oparte na OZE mogą być częścią projektów realizowanych przez przedsiębiorców w ramach Działania 2.13 Gospodarka o obiegu zamkniętym (IF). </w:t>
      </w:r>
      <w:r>
        <w:br/>
        <w:t xml:space="preserve">Wsparcie oferowane będzie na obszarze subregionu północnego województwa śląskiego. </w:t>
      </w:r>
      <w:r>
        <w:br/>
        <w:t>Pożyczka z elementem dotacyjnym oferowana na warunkach korzystniejszych niż rynkowe. Wsparcie dotacyjne musi pozostawać w bezpośrednim związku z instrumentem finansowym. Szczegółowy zakres oraz warunki wsparcia będą doprecyzowane w Strategii Inwestycyjnej oraz w metryce produktu finansowego.</w:t>
      </w:r>
      <w:r>
        <w:br/>
        <w:t>Przedsięwzięcia wykorzystujące naturalny regionalny potencjał w zakresie odnawialnych źródeł energii (m.in. energia słoneczna, wodna, wiatrowa, z biomasy, geotermalna).</w:t>
      </w:r>
      <w:r>
        <w:br/>
        <w:t>Wsparciem objęte zostaną inwestycje/działania m.in. takie jak:</w:t>
      </w:r>
      <w:r>
        <w:br/>
        <w:t xml:space="preserve">• budowa i rozbudowa, zakup i montaż infrastruktury do wytwarzania i magazynowania (na potrzeby danego źródła) energii elektrycznej i cieplnej z odnawialnych źródeł energii wraz z podłączeniem do sieci. Dofinansowanie dotyczące zwiększenia poziomu produkcji energii ze źródeł odnawialnych przewiduje budowę jednostek wytwarzania energii wykorzystujących energię m.in. wiatru, promieniowania słonecznego, aerotermalną, geotermalną, hydrotermalną, hydroenergię, energię otrzymywaną z </w:t>
      </w:r>
      <w:r>
        <w:lastRenderedPageBreak/>
        <w:t>biomasy, biogazu, biogazu rolniczego i biopłynów.</w:t>
      </w:r>
      <w:r>
        <w:br/>
        <w:t>• rozbudowa istniejących instalacji do produkcji energii i ciepła z OZE o magazyny energii działające na potrzeby istniejącego źródła.</w:t>
      </w:r>
      <w:r>
        <w:br/>
        <w:t>Kosztem kwalifikowalnym w ramach instrumentu są między innymi działania/dokumentacje przygotowawcze i powykonawcze (ekspertyzy, audyty).</w:t>
      </w:r>
      <w:r>
        <w:br/>
        <w:t>Zakłada się także:</w:t>
      </w:r>
      <w:r>
        <w:br/>
        <w:t>• szerokie wsparcie dla energetyki rozproszonej i prosumenckiej (w tym prosumentów zbiorowych i wirtualnych), oraz społeczności energetycznych (w tym klastrów i spółdzielni energetycznych) jako ważnego elementu dywersyfikacji źródeł wytwarzania w regionalnym miksie energetycznym;</w:t>
      </w:r>
      <w:r>
        <w:br/>
        <w:t>• dopuszcza się zastosowanie hybrydowych instalacji OZE i równoważących produkcję energii, w których w procesie wytwarzania energii wykorzystuje się dwa (lub więcej) źródła energii.</w:t>
      </w:r>
      <w:r>
        <w:br/>
      </w:r>
      <w:r>
        <w:br/>
        <w:t>Moce przewidziane do dofinansowania w ramach programu regionalnego:</w:t>
      </w:r>
      <w:r>
        <w:br/>
        <w:t xml:space="preserve">• energia elektryczna: </w:t>
      </w:r>
      <w:r>
        <w:br/>
        <w:t>- biomasa: nie więcej niż 5MWe,</w:t>
      </w:r>
      <w:r>
        <w:br/>
        <w:t>- biogaz: nie więcej niż 0,5 MWe,</w:t>
      </w:r>
      <w:r>
        <w:br/>
        <w:t>Zaproponowane limity mocy nie dotyczą projektów realizowanych przez klastry energii lub spółdzielnie energetyczne oraz projektów parasolowych.</w:t>
      </w:r>
      <w:r>
        <w:br/>
        <w:t>Pozostałe rodzaje OZE mogą być wspierane bez ograniczeń w zakresie mocy.</w:t>
      </w:r>
      <w:r>
        <w:br/>
        <w:t>Zasady wsparcia nie mogą być korzystniejsze od oferty programu krajowego.</w:t>
      </w:r>
      <w:r>
        <w:br/>
        <w:t>Dopuszczalne jest dofinansowanie magazynów energii także, jako samodzielnych projektów pracujących wyłącznie na rzecz istniejącej instalacji energii odnawialnej.</w:t>
      </w:r>
      <w:r>
        <w:br/>
        <w:t>Moce magazynów przewidziane do dofinansowania w ramach programu regionalnego:</w:t>
      </w:r>
      <w:r>
        <w:br/>
        <w:t>- nie więcej niż 1 MWe, przy czym w przypadku magazynów realizowanych w ramach instalacji OZE ich moc nie powinna przekraczać sumarycznej mocy wszystkich jednostek wytwórczych wchodzących w skład tej instalacji.</w:t>
      </w:r>
      <w:r>
        <w:br/>
        <w:t xml:space="preserve">• energia cieplna: </w:t>
      </w:r>
      <w:r>
        <w:br/>
        <w:t>- biomasa: nie więcej niż 5 MWth,</w:t>
      </w:r>
      <w:r>
        <w:br/>
        <w:t>- biogaz: nie więcej niż 0,5 MWth.</w:t>
      </w:r>
      <w:r>
        <w:br/>
        <w:t>Zaproponowane limity mocy nie dotyczą projektów realizowanych przez klastry energii lub spółdzielnie energetyczne oraz projektów parasolowych.</w:t>
      </w:r>
      <w:r>
        <w:br/>
        <w:t>Pozostałe rodzaje OZE mogą być wspierane bez ograniczeń w zakresie mocy.</w:t>
      </w:r>
      <w:r>
        <w:br/>
        <w:t>Zasady wsparcia nie mogą być korzystniejsze od oferty programu krajowego.</w:t>
      </w:r>
      <w:r>
        <w:br/>
      </w:r>
      <w:r>
        <w:br/>
        <w:t>Preferowane będą projekty realizowane przez ostatecznych odbiorców w partnerstwie publiczno-prywatnym (art. 40 ustawy o zasadach realizacji zadań finansowanych ze środków europejskich w perspektywie finansowej 2021-2027)</w:t>
      </w:r>
      <w:r w:rsidR="002D509E">
        <w:t xml:space="preserve"> </w:t>
      </w:r>
      <w:r>
        <w:t>oraz projekty typu EPC.</w:t>
      </w:r>
      <w:r>
        <w:br/>
        <w:t>Możliwe będzie realizowanie projektów parasolowych, grantowych zgodnie z art. 41 ustawy o zasadach realizacji zadań finansowanych ze środków europejskich w perspektywie finansowej 2021-2027 oraz hybrydowych zgodnie z art. 40 ustawy o zasadach realizacji zadań finansowanych ze środków europejskich w perspektywie finansowej 2021-2027. Priorytetowo traktowane będą projekty kompleksowe, obejmujące również magazyny energii na potrzeby OZE.</w:t>
      </w:r>
      <w:r>
        <w:br/>
      </w:r>
      <w:r>
        <w:lastRenderedPageBreak/>
        <w:t>Jako element projektu możliwe będzie wspieranie rozwiązań produktowych, technicznych, technologicznych i cyfrowych zgodne z koncepcją dual-use, pozwalających na korzystanie z ich funkcji również w przypadku wystąpienia zdarzeń kryzysowych (w tym magazyny energii i falowniki działające off-grid).</w:t>
      </w:r>
      <w:r>
        <w:br/>
        <w:t xml:space="preserve">Wsparcie udzielane jest wyłącznie na te elementy inwestycji, które nie są fizycznie ukończone lub w pełni wdrożone w dniu podjęcia decyzji inwestycyjnej. </w:t>
      </w:r>
      <w:r>
        <w:br/>
        <w:t>We wszystkich inwestycjach odbiorców ostatecznych,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w:t>
      </w:r>
      <w:r>
        <w:br/>
        <w:t>Dopuszczalne będą wydatki poniesione na podniesienie poziomu cyberbezpieczeństwa, zgodnie ze standardami wyznaczonymi w ramach krajowego systemu cyberbezpieczeństwa, bez powielania funkcji inwestycji prowadzonych z poziomu krajowego.</w:t>
      </w:r>
      <w:r>
        <w:br/>
        <w:t>W stosownych przypadkach oraz w zależności od zakresu, realizowane inwestycje odbiorców ostatecznych będą łączyć zasady zrównoważonego rozwoju, estetyki i włączenia, zgodnie z ideą inicjatywy Nowy Europejski Bauhaus.</w:t>
      </w:r>
      <w:r>
        <w:br/>
        <w:t xml:space="preserve">Obligatoryjne warunki wsparcia: </w:t>
      </w:r>
      <w:r>
        <w:br/>
        <w:t>• Inwestycje odbiorców ostatecznych powinny cechować się odpowiednią efektywnością kosztową w powiązaniu z osiąganymi efektami ekologicznymi w stosunku do planowanych nakładów finansowych.</w:t>
      </w:r>
      <w:r>
        <w:br/>
        <w:t>• Ukierunkowanie wsparcia będzie zgodne z założeniami uchwały antysmogowej oraz Programu Ochrony Powietrza dla województwa śląskiego.</w:t>
      </w:r>
      <w:r>
        <w:br/>
        <w:t xml:space="preserve">• W zakresie energetyki wodnej: </w:t>
      </w:r>
      <w:r>
        <w:br/>
        <w:t>- inwestycje muszą być zgodne z najnowszymi Planami Gospodarowania Wodami w Dorzeczach;</w:t>
      </w:r>
      <w:r>
        <w:br/>
        <w:t>- współfinansowane będą tylko projekty na już istniejących budowlach piętrzących, niemające negatywnego wpływu na stan lub potencjał jednolitych części wód, wyposażonych w hydroelektrownie, przy jednoczesnym zapewnieniu pełnej drożności budowli dla przemieszczeń fauny wodnej.</w:t>
      </w:r>
      <w:r>
        <w:br/>
        <w:t>• Biomasa wykorzystywana do wytwarzania energii oraz biopaliwa muszą spełniać kryteria zrównoważonego rozwoju określone w dyrektywie Parlamentu Europejskiego i Rady (UE) 2018/2001 z 11 grudnia 2018 r. w sprawie promowania stosowania energii ze źródeł odnawialnych.</w:t>
      </w:r>
      <w:r>
        <w:br/>
        <w:t>• Wspierane inwestycje nie mogą powodować nieosiągnięcia dobrego stanu lub potencjału jednolitych części wód, nie mogą też pogarszać stanu lub potencjału jednolitych części wód oraz nie mogą mieć znaczącego wpływu na cele ochrony obszarów objętych siecią Natura 2000.</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Projekt jest zgodny z zasadą deinstytucjonalizacji.</w:t>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lastRenderedPageBreak/>
        <w:br/>
      </w:r>
    </w:p>
    <w:p w14:paraId="02C50A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B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B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B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0B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B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B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B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16 sierpnia 2023 r. w sprawie udzielania pomocy inwestycyjnej na system ciepłowniczy i chłodniczy w ramach regionalnych programów na lata 2021-2027 (Dz.U. 2023 poz. 1768),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8 grudnia 2023 r. w sprawie udzielania pomocy inwestycyjnej na infrastrukturę energetyczną w ramach regionalnych programów na lata 2021–2027 (Dz.U. 2023 poz. 2763)</w:t>
      </w:r>
    </w:p>
    <w:p w14:paraId="02C50B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B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02C50B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B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Wsparcie poprzez instrumenty finansowe: dotacje w ramach operacji instrumentu finansowego, Wsparcie poprzez instrumenty finansowe: pożyczka</w:t>
      </w:r>
    </w:p>
    <w:p w14:paraId="02C50B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B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0B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B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0B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B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B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B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w:t>
      </w:r>
    </w:p>
    <w:p w14:paraId="02C50B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B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w:t>
      </w:r>
    </w:p>
    <w:p w14:paraId="02C50B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B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ochrona_klimatu, ochrona_powietrza, odnawialne_źródła_energii, odzysk_ciepła, oszczędność_energii, oszczędność_surowców, oszczędność_wody, oszczędność_zasobów, redukcja_emisji_CO2</w:t>
      </w:r>
    </w:p>
    <w:p w14:paraId="02C50B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B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02C50B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02C50B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B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02C50B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02C50B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B1E"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1" w:name="_Toc235079759"/>
      <w:r>
        <w:rPr>
          <w:rFonts w:ascii="Calibri" w:hAnsi="Calibri" w:cs="Calibri"/>
          <w:sz w:val="32"/>
        </w:rPr>
        <w:t>Działanie FESL.02.08 Wsparcie dla klimatu</w:t>
      </w:r>
      <w:bookmarkEnd w:id="21"/>
    </w:p>
    <w:p w14:paraId="02C50B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B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EFRR/FS.CP2.IV - Wspieranie przystosowania się do zmian klimatu i zapobiegania ryzyku związanemu z klęskami żywiołowymi i katastrofami, a także odporności, z uwzględnieniem podejścia ekosystemowego</w:t>
      </w:r>
    </w:p>
    <w:p w14:paraId="02C50B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B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12 770 000,00</w:t>
      </w:r>
    </w:p>
    <w:p w14:paraId="02C50B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B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12 770 000,00</w:t>
      </w:r>
    </w:p>
    <w:p w14:paraId="02C50B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B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p w14:paraId="02C50B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B28" w14:textId="4A01849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 Adaptacja terenów zurbanizowanych do zmian klimatu</w:t>
      </w:r>
      <w:r>
        <w:br/>
        <w:t>2. Opracowanie Miejskich Planów Adaptacji do zmian klimatu (MPA)</w:t>
      </w:r>
      <w:r>
        <w:br/>
        <w:t>3. Przeciwdziałanie skutkom suszy i powodzi</w:t>
      </w:r>
      <w:r>
        <w:br/>
      </w:r>
      <w:r>
        <w:br/>
        <w:t>1. Adaptacja terenów zurbanizowanych do zmian klimatu</w:t>
      </w:r>
      <w:r w:rsidR="002D509E">
        <w:t xml:space="preserve"> </w:t>
      </w:r>
      <w:r>
        <w:br/>
      </w:r>
      <w:r>
        <w:br/>
        <w:t>W ramach działania wspierane będą kompleksowe działania na rzecz adaptacji do zmian klimatu terenów zurbanizowanych poprzez m.in. dostosowanie infrastruktury służącej przeciwdziałaniu i minimalizacji skutków powodzi i suszy do ekstremalnych stanów pogodowych, poprzez wdrażanie systemowych rozwiązań z zakresu błękitno-zielonej infrastruktury takich jak np. Zastosowanie elementów zieleni w kształtowaniu miejskich przestrzeni publicznych, m.in. parki kieszonkowe, ogrody deszczowe, zielone dachy i ściany, parklety, ogrody wertykalne, woonerf a także renaturyzacja cieków wodnych, wykorzystanie i powiększanie istniejących systemów naturalnego odprowadzania wód deszczowych (np. rowy i niecki infiltracyjne, muldy trawiaste, studnie chłonne, zbiorniki infiltracyjne) oraz naturalnego retencjonowania wody opadowej poprzez np. muldy chłonne, zielone ściany, zielone przystanki, ogrody deszczowe. Projekty z zakresu kanalizacji deszczowej będą mogły być wspierane tylko w połączeniu z zielono-niebieską infrastrukturą.</w:t>
      </w:r>
      <w:r w:rsidR="002D509E">
        <w:t xml:space="preserve"> </w:t>
      </w:r>
      <w:r>
        <w:br/>
      </w:r>
      <w:r>
        <w:br/>
        <w:t>Dla inwestycji z zakresu adaptacji do zmian klimatu elementem kwalifikowalnym projektu będzie promowanie oraz podnoszenie świadomości mieszkańców/instytucji w zakresie mitygacji zmian klimatu.</w:t>
      </w:r>
      <w:r>
        <w:br/>
        <w:t>2. Opracowanie Miejskich Planów Adaptacji do zmian klimatu (MPA)</w:t>
      </w:r>
      <w:r w:rsidR="002D509E">
        <w:t xml:space="preserve"> </w:t>
      </w:r>
      <w:r>
        <w:br/>
      </w:r>
      <w:r>
        <w:br/>
        <w:t>W ramach przedmiotowego typu projektów możliwe będzie opracowanie Miejskich Planów Adaptacji.</w:t>
      </w:r>
      <w:r>
        <w:br/>
        <w:t>3. Przeciwdziałanie skutkom suszy i powodzi</w:t>
      </w:r>
      <w:r>
        <w:br/>
      </w:r>
      <w:r>
        <w:br/>
        <w:t xml:space="preserve">W ramach działania wspierane będą inwestycje dotyczące retencjonowania wody, w tym małej retencji (z wykluczeniem retencji powstałej w wyniku przegradzania cieków wodnych) mające na celu likwidację przyczyn i skutków pogorszenia naturalnych stosunków wodnych poprzez spowalnianie odpływu wody, minimalizację skutków suszy, przeciwdziałanie powodzi i odtworzenie lub zachowanie istniejących obszarów wodno-błotnych m.in. poprzez wspieranie prośrodowiskowych metod retencjonowania wody, tj. zachowanie naturalnych „zbiorników retencyjnych”. Możliwe będzie wsparcie funkcji retencyjnych </w:t>
      </w:r>
      <w:r>
        <w:lastRenderedPageBreak/>
        <w:t>małych zbiorników wodnych, tj. do 5 mln m3 pojemności wykorzystujących naturalne mechanizmy, (w tym stawy rybne), np. w zakresie modernizacji lub remontu infrastruktury zasilającej bądź odprowadzającej wodę.</w:t>
      </w:r>
      <w:r w:rsidR="002D509E">
        <w:t xml:space="preserve"> </w:t>
      </w:r>
      <w:r>
        <w:br/>
      </w:r>
      <w:r>
        <w:br/>
        <w:t>W przypadku niewystarczających naturalnych mechanizmów ograniczających skutki susz i powodzi, wsparcie uzyskają także inwestycje z zakresu budowy, przebudowy lub remontu urządzeń wodnych i infrastruktury hydrotechnicznej mających szczególne znaczenie z punktu widzenia skutecznego zarządzania, przeciwdziałania i ograniczania skutków suszy i powodzi</w:t>
      </w:r>
      <w:r w:rsidR="002D509E">
        <w:t xml:space="preserve"> </w:t>
      </w:r>
      <w:r>
        <w:t xml:space="preserve">(np.: kanały, rowy, wały przeciwpowodziowe, suche zbiorniki – poldery), a także inwestycje związane z budową, przebudową kanalizacji deszczowej wraz ze zbiornikami retencyjnymi, umożliwiające ponowne wykorzystanie wód opadowych, m.in. do nawadniania terenów zielonych i celów komunalnych. </w:t>
      </w:r>
      <w:r>
        <w:br/>
      </w:r>
      <w:r>
        <w:br/>
        <w:t>Inwestycje przeciwpowodziowe powinny koncentrować się na obszarach wskazanych w Mapach zagrożenia powodziowego (MZP) i mapach ryzyka powodziowego (MRP)</w:t>
      </w:r>
      <w:r w:rsidR="002D509E">
        <w:t xml:space="preserve"> </w:t>
      </w:r>
      <w:r>
        <w:t>lub wynikać z miejskich planów adaptacji do zmian klimatu.</w:t>
      </w:r>
      <w:r>
        <w:br/>
      </w:r>
      <w:r>
        <w:br/>
        <w:t>Projekty dotyczące gospodarowania wodami opadowymi, metodami innymi niż naturalne, są możliwe, jeśli spełniają łącznie następujące warunki:</w:t>
      </w:r>
      <w:r w:rsidR="002D509E">
        <w:t xml:space="preserve"> </w:t>
      </w:r>
      <w:r>
        <w:br/>
      </w:r>
      <w:r>
        <w:br/>
        <w:t>- zostały uwzględnione w planach adaptacji do zmian klimatu (w przypadku beneficjentów, dla których tego typu dokument jest obligatoryjny) lub znajdują się na</w:t>
      </w:r>
      <w:r w:rsidR="002D509E">
        <w:t xml:space="preserve"> </w:t>
      </w:r>
      <w:r>
        <w:t>terenach, gdzie istnieje zagrożenie powodziowe, w tym zagrożenie podtopień i zalań będących konsekwencją ekstremalnych zjawisk pogodowych;</w:t>
      </w:r>
      <w:r>
        <w:br/>
        <w:t>- wykorzystują zieloną i niebieską infrastrukturę do zatrzymywania wody w miejscu opadu na terenach miejskich (nie na odpływie) oraz, o ile to możliwe, rozwiązania oparte na przyrodzie;</w:t>
      </w:r>
      <w:r w:rsidR="002D509E">
        <w:t xml:space="preserve"> </w:t>
      </w:r>
      <w:r>
        <w:br/>
      </w:r>
      <w:r>
        <w:br/>
        <w:t>- nie są związane z gospodarką ściekami komunalnymi.</w:t>
      </w:r>
      <w:r w:rsidR="002D509E">
        <w:t xml:space="preserve"> </w:t>
      </w:r>
      <w:r>
        <w:br/>
      </w:r>
      <w:r>
        <w:br/>
        <w:t>Dla inwestycji z zakresu przeciwdziałania skutkom suszy i powodzi elementem kwalifikowalnym projektu będzie promowanie oraz podnoszenie świadomości mieszkańców/instytucji w zakresie mitygacji zmian klimatu.</w:t>
      </w:r>
      <w:r>
        <w:br/>
      </w:r>
      <w:r>
        <w:br/>
        <w:t>Obligatoryjne warunki wsparcia</w:t>
      </w:r>
      <w:r>
        <w:br/>
        <w:t>Wsparcie w ramach 1 oraz 2 typu projektu będzie skierowane do miast poniżej 20 tys. mieszkańców oprócz stolic powiatów o liczbie mieszkańców w przedziale 15-20 tys. mieszkańców.</w:t>
      </w:r>
      <w:r w:rsidR="002D509E">
        <w:t xml:space="preserve"> </w:t>
      </w:r>
      <w:r>
        <w:br/>
      </w:r>
      <w:r>
        <w:br/>
        <w:t>Powyższe ograniczenie nie obowiązuje dla projektów ujętych na liście ZIT (o której mowa w art. 34 ust. 15 pkt 3 ustawy wdrożeniowej), dla których planowanym źródłem finansowania jest program regionalny.</w:t>
      </w:r>
      <w:r>
        <w:br/>
      </w:r>
      <w:r>
        <w:br/>
        <w:t>jak również:</w:t>
      </w:r>
      <w:r>
        <w:br/>
      </w:r>
      <w:r>
        <w:br/>
        <w:t>IZ może ogłosić nabór w ramach powyższych typów projektu z wyłączeniem tego ograniczenia,</w:t>
      </w:r>
      <w:r w:rsidR="002D509E">
        <w:t xml:space="preserve"> </w:t>
      </w:r>
      <w:r>
        <w:t xml:space="preserve">jeśli </w:t>
      </w:r>
      <w:r>
        <w:lastRenderedPageBreak/>
        <w:t>uzyska zgodę/potwierdzenie IK UP (PR).</w:t>
      </w:r>
      <w:r>
        <w:br/>
      </w:r>
      <w:r>
        <w:br/>
      </w:r>
      <w:r w:rsidR="002D509E">
        <w:t xml:space="preserve"> </w:t>
      </w:r>
      <w:r>
        <w:t>W ramach 3 typu projektu wykluczone ze wsparcia będą</w:t>
      </w:r>
      <w:r w:rsidR="002D509E">
        <w:t xml:space="preserve"> </w:t>
      </w:r>
      <w:r>
        <w:t>projekty powodujące zastosowanie art.4.7 Ramowej Dyrektywy Wodnej.</w:t>
      </w:r>
      <w:r>
        <w:br/>
        <w:t>W ramach 3 typu projektu nie będą finansowane inwestycje służące innym celom (np. rekreacja, turystyka, melioracja na obszarach wiejskich).</w:t>
      </w:r>
      <w:r>
        <w:br/>
        <w:t>W ramach 3 typu projektu przedsięwzięcia dotyczące małej retencji będą wspierane w przypadku projektów realizowanych przez podmioty inne niż podlegające/nadzorowane przez administrację centralną.</w:t>
      </w:r>
      <w:r>
        <w:br/>
        <w:t>Przewiduje się wsparcie dla obszarów strategicznej interwencji o znaczeniu krajowym, wskazanych w Krajowej Strategii Rozwoju Regionalnego stąd pulę środków</w:t>
      </w:r>
      <w:r w:rsidR="002D509E">
        <w:t xml:space="preserve"> </w:t>
      </w:r>
      <w:r>
        <w:t>OSI dedykuje się dla:</w:t>
      </w:r>
      <w:r>
        <w:br/>
        <w:t>miast średnich tracących funkcje społeczno-gospodarcze, tj. Jastrzębie-Zdrój.</w:t>
      </w:r>
      <w:r>
        <w:br/>
        <w:t>obszarów zagrożonych trwałą marginalizacją, tj. Koniecpol, Irządze, Rajcza.</w:t>
      </w:r>
      <w:r>
        <w:br/>
        <w:t>We wszystkich projektach, w których będzie to zasadne i możliwe, będą musiały zostać zastosowane rozwiązania w zakresie obiegu cyrkularnego, w tym efektywności energetycznej i użycia energii ze źródeł odnawialnych.</w:t>
      </w:r>
      <w:r>
        <w:br/>
      </w:r>
      <w:r>
        <w:br/>
      </w:r>
      <w:r w:rsidR="002D509E">
        <w:t xml:space="preserve"> </w:t>
      </w:r>
      <w:r>
        <w:t>Projekty</w:t>
      </w:r>
      <w:r w:rsidR="002D509E">
        <w:t xml:space="preserve"> </w:t>
      </w:r>
      <w:r>
        <w:t>realizowane w ramach działania będą musiały być zgodne z Dyrektywą Rady 92/43/EWG w sprawie ochrony siedlisk przyrodniczych oraz dzikiej fauny i flory, a także Dyrektywą Parlamentu Europejskiego i Rady 2009/147/WE w sprawie ochrony dzikiego ptactwa. </w:t>
      </w:r>
      <w:r>
        <w:br/>
      </w:r>
      <w:r>
        <w:br/>
        <w:t>Wspierane inwestycje nie mogą powodować nieosiągnięcia dobrego stanu lub potencjału jednolitych części wód, nie mogą też pogarszać stanu lub potencjału jednolitych części wód oraz nie mogą mieć znaczącego wpływu na cele ochrony obszarów objętych siecią Natura 2000, chyba że zachodzą przesłanki do odstępstw przewidzianych w Dyrektywie Siedliskowej.</w:t>
      </w:r>
      <w:r w:rsidR="002D509E">
        <w:t xml:space="preserve"> </w:t>
      </w:r>
      <w:r>
        <w:br/>
      </w:r>
      <w:r>
        <w:br/>
        <w:t>Działanie będzie realizowane z uwzględnieniem zasad horyzontalnych (zgodnie z art. 9 Rozporządzenia Parlamentu Europejskiego i Rady (UE) nr 2021/1060 z dnia 24 czerwca 2021 r.), a obowiązek ich stosowania wynika z Umowy Partnerstwa, programu oraz wytycznych. </w:t>
      </w:r>
      <w:r>
        <w:br/>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Projekt zgodny z zasadą deinstytucjonalizacji. </w:t>
      </w:r>
      <w:r>
        <w:br/>
      </w:r>
      <w:r>
        <w:br/>
        <w:t>Preferowane warunki wsparcia</w:t>
      </w:r>
      <w:r>
        <w:br/>
        <w:t>Przy realizacji inwestycji zalecane jest wykorzystanie dobrych praktyk w zakresie ochrony środowiska, w szczególności standardów ochrony drzew [Standardy Ochrony Drzew - Narodowy Fundusz Ochrony Środowiska i Gospodarki Wodnej - Portal Gov.pl (www.gov.pl)].</w:t>
      </w:r>
      <w:r>
        <w:br/>
        <w:t xml:space="preserve">Preferowana będzie realizacja zielonych zamówień publicznych w oparciu o opracowane przez KE </w:t>
      </w:r>
      <w:r>
        <w:lastRenderedPageBreak/>
        <w:t>wspólne kryteria możliwe do stosowania w państwach członkowskich Unii.</w:t>
      </w:r>
      <w:r>
        <w:br/>
        <w:t>W tym obszarze identyfikuje się potencjał dla wsparcia opartego na wymianie doświadczeń, w szczególności ze źródeł międzynarodowych. W ramach tego celu przewiduje się również wspierać samą wymianę doświadczeń, z odpowiednim skutkiem w działaniach edukacyjnych, doradczych, zwiększających dostęp do wiedzy i danych w zakresie zmian klimatycznych i wczesnego zapobiegania ryzyku. Mając na uwadze, iż województwo śląskie objęte jest programami współpracy terytorialnej Interreg, interwencja zaplanowana w ramach niniejszego celu szczegółowego będzie komplementarna wobec działań realizowanych w:- Programie Interreg Polska-Słowacja, w ramach Priorytetu 1 Przyjazne naturze i bezpieczne Pogranicze- Programie Interreg Czechy -Polska, w ramach Priorytetu 1 Zintegrowany system ratownictwa i środowisko- Interreg Europa Środkowa 2021-2027 poprzez Priorytet 2 Współpraca na rzecz bardziej zielonej Europy- Interreg Europa 2021-2027. W ramach działań należy dążyć do synergii z europejskimi i krajowymi instrumentami, wykorzystując wyniki innych programów, np. Horyzont Europa, LIFE+. </w:t>
      </w:r>
      <w:r>
        <w:br/>
      </w:r>
      <w:r>
        <w:br/>
        <w:t>. Premiowane będą projekty, które mają istotny wkład w realizację jednego z sześciu celów środowiskowych określanych w rozporządzeniu (UE) 2020/852. </w:t>
      </w:r>
      <w:r>
        <w:br/>
      </w:r>
      <w:r>
        <w:br/>
        <w:t>Premiowane będą projekty realizujące założenia Nowego Europejskiego Bauhausu </w:t>
      </w:r>
    </w:p>
    <w:p w14:paraId="02C50B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B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B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B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B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B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B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B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B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B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B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B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B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B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B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Sposób wyboru projektów</w:t>
      </w:r>
    </w:p>
    <w:p w14:paraId="02C50B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2C50B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B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B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B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Przedsiębiorstwa, Służby publiczne</w:t>
      </w:r>
    </w:p>
    <w:p w14:paraId="02C50B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B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odpowiedzialne za gospodarkę wodną, Jednostki Samorządu Terytorialnego, MŚP, Organizacje pozarządowe, Partnerstwa instytucji pozarządowych, Partnerstwa Publiczno-Prywatne, Pozarządowe organizacje turystyczne, Wspólnoty, spółdzielnie mieszkaniowe, TBS i SIM</w:t>
      </w:r>
    </w:p>
    <w:p w14:paraId="02C50B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B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adaptacja_do_zmian_klimatu, edukacja_klimatyczna, ekosystem, klęski_żywiołowe, klimat, neutralność_klimatyczna, ochrona_klimatu</w:t>
      </w:r>
    </w:p>
    <w:p w14:paraId="02C50B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B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B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B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B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B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WLWK-PLRO172 - Długość udrożnionego ekologicznie korytarza rzecznego</w:t>
      </w:r>
    </w:p>
    <w:p w14:paraId="02C50B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WLWK-PLRO058 - Długość wybudowanej sieci kanalizacji deszczowej</w:t>
      </w:r>
    </w:p>
    <w:p w14:paraId="02C50B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WLWK-PLRO059 - Długość zmodernizowanej sieci kanalizacji deszczowej</w:t>
      </w:r>
    </w:p>
    <w:p w14:paraId="02C50B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WLWK-PLRO170 - Długość zreanaturyzowanych i zrewitalizowanych odcinków koryta cieku</w:t>
      </w:r>
    </w:p>
    <w:p w14:paraId="02C50B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WLWK-RCO024 - Inwestycje w nowe lub zmodernizowane systemy monitorowania, gotowości, ostrzegania i reagowania w kontekście klęsk żywiołowych i katastrof w przypadku klęsk żywiołowych</w:t>
      </w:r>
    </w:p>
    <w:p w14:paraId="02C50B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WLWK-RCO027 - Krajowe oraz regionalne i lokalne strategie na rzecz przystosowania się do zmian klimatu</w:t>
      </w:r>
    </w:p>
    <w:p w14:paraId="02C50B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WLWK-PLRO178 - Liczba miast wspartych w zakresie adaptacji do zmian klimatu</w:t>
      </w:r>
    </w:p>
    <w:p w14:paraId="02C50B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WLWK-PLRO175 - Liczba opracowanych ekspertyz, ocen, analiz, koncepcji, studiów</w:t>
      </w:r>
    </w:p>
    <w:p w14:paraId="02C50B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B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WLWK-PLRO167 - Liczba wybudowanych, przebudowanych i wyremontowanych urządzeń wodnych (w tym obiektów kompleksowych)</w:t>
      </w:r>
    </w:p>
    <w:p w14:paraId="02C50B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WLWK-PLRO169 - Liczba zlikwidowanych urządzeń wodnych (w tym obiektów kompleksowych)</w:t>
      </w:r>
    </w:p>
    <w:p w14:paraId="02C50B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WLWK-RCO025 - Nowo wybudowane lub wzmocnione środki ochrony przeciwpowodziowej wybrzeża morskiego oraz brzegów rzek i jezior</w:t>
      </w:r>
    </w:p>
    <w:p w14:paraId="02C50B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WLWK-RCO106 - Nowo wybudowane lub wzmocnione środki ochrony przed osunięciami ziemi</w:t>
      </w:r>
    </w:p>
    <w:p w14:paraId="02C50B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WLWK-PLRO044 - Pojemność obiektów małej retencji</w:t>
      </w:r>
    </w:p>
    <w:p w14:paraId="02C50B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WLWK-RCO121 - Powierzchnia objęta środkami ochrony przed klęskami żywiołowymi związanymi z klimatem (oprócz powodzi i niekontrolowanych pożarów)</w:t>
      </w:r>
    </w:p>
    <w:p w14:paraId="02C50B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WLWK-PLRO166 - Powierzchnia obszaru zagrożonego powodzią lub katastrofą urządzenia wodnego, która zostanie objęta ochroną w wyniku realizacji inwestycji</w:t>
      </w:r>
    </w:p>
    <w:p w14:paraId="02C50B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WLWK-PLRO168 - Powierzchnia odtworzonych obszarów zalewowych</w:t>
      </w:r>
    </w:p>
    <w:p w14:paraId="02C50B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WLWK-RCO026 - Zielona infrastruktura wybudowana lub zmodernizowana w celu przystosowania się do zmian klimatu</w:t>
      </w:r>
    </w:p>
    <w:p w14:paraId="02C50B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B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B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02C50B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WLWK-RCR035 - Ludność odnosząca korzyści ze środków ochrony przeciwpowodziowej</w:t>
      </w:r>
    </w:p>
    <w:p w14:paraId="02C50B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WLWK-RCR037 - Ludność odnosząca korzyści ze środków ochrony przed klęskami żywiołowymi związanymi z klimatem (oprócz powodzi lub niekontrolowanych pożarów)</w:t>
      </w:r>
    </w:p>
    <w:p w14:paraId="02C50B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0B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B5F"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2" w:name="_Toc235079760"/>
      <w:r>
        <w:rPr>
          <w:rFonts w:ascii="Calibri" w:hAnsi="Calibri" w:cs="Calibri"/>
          <w:sz w:val="32"/>
        </w:rPr>
        <w:t>Działanie FESL.02.09 Wsparcie dla klimatu - ZIT</w:t>
      </w:r>
      <w:bookmarkEnd w:id="22"/>
    </w:p>
    <w:p w14:paraId="02C50B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B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EFRR/FS.CP2.IV - Wspieranie przystosowania się do zmian klimatu i zapobiegania ryzyku związanemu z klęskami żywiołowymi i katastrofami, a także odporności, z uwzględnieniem podejścia ekosystemowego</w:t>
      </w:r>
    </w:p>
    <w:p w14:paraId="02C50B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B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8 200 000,00</w:t>
      </w:r>
    </w:p>
    <w:p w14:paraId="02C50B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B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8 200 000,00</w:t>
      </w:r>
    </w:p>
    <w:p w14:paraId="02C50B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B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p w14:paraId="02C50B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B69" w14:textId="4C56752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Działanie dedykowane Zintegrowanym Inwestycjom Terytorialnym. </w:t>
      </w:r>
      <w:r>
        <w:br/>
      </w:r>
      <w:r>
        <w:br/>
        <w:t>Typy projektów</w:t>
      </w:r>
      <w:r>
        <w:br/>
        <w:t>1. Adaptacja terenów zurbanizowanych do zmian klimatu</w:t>
      </w:r>
      <w:r>
        <w:br/>
        <w:t>2. Opracowanie Miejskich Planów Adaptacji do zmian klimatu (MPA)</w:t>
      </w:r>
      <w:r>
        <w:br/>
        <w:t>3. Przeciwdziałanie skutkom suszy i powodzi</w:t>
      </w:r>
      <w:r>
        <w:br/>
        <w:t>1. Adaptacja terenów zurbanizowanych do zmian klimatu</w:t>
      </w:r>
      <w:r w:rsidR="002D509E">
        <w:t xml:space="preserve"> </w:t>
      </w:r>
      <w:r>
        <w:br/>
      </w:r>
      <w:r>
        <w:br/>
        <w:t>W ramach działania wspierane będą kompleksowe działania na rzecz adaptacji do zmian klimatu terenów zurbanizowanych poprzez m.in. dostosowanie infrastruktury służącej przeciwdziałaniu i minimalizacji skutków powodzi i suszy do ekstremalnych stanów pogodowych, poprzez wdrażanie systemowych rozwiązań z zakresu błękitno-zielonej infrastruktury takich jak np. Zastosowanie elementów zieleni w kształtowaniu miejskich przestrzeni publicznych, m.in. parki kieszonkowe, ogrody deszczowe, zielone dachy i ściany, parklety, ogrody wertykalne, woonerf a także renaturyzacja cieków wodnych, wykorzystanie i powiększanie istniejących systemów naturalnego odprowadzania wód deszczowych (np. rowy i niecki infiltracyjne, muldy trawiaste, studnie chłonne, zbiorniki infiltracyjne) oraz naturalnego retencjonowania wody opadowej poprzez np. muldy chłonne, zielone ściany, zielone przystanki, ogrody deszczowe. Projekty z zakresu kanalizacji deszczowej będą mogły być wspierane tylko w połączeniu z zielono-niebieską infrastrukturą.</w:t>
      </w:r>
      <w:r w:rsidR="002D509E">
        <w:t xml:space="preserve"> </w:t>
      </w:r>
      <w:r>
        <w:br/>
      </w:r>
      <w:r>
        <w:br/>
        <w:t>Dla inwestycji z zakresu adaptacji do zmian klimatu elementem kwalifikowalnym projektu będzie promowanie oraz podnoszenie świadomości mieszkańców/instytucji w zakresie mitygacji zmian klimatu.</w:t>
      </w:r>
      <w:r>
        <w:br/>
        <w:t>2. Opracowanie Miejskich Planów Adaptacji do zmian klimatu (MPA)</w:t>
      </w:r>
      <w:r w:rsidR="002D509E">
        <w:t xml:space="preserve"> </w:t>
      </w:r>
      <w:r>
        <w:br/>
      </w:r>
      <w:r>
        <w:br/>
        <w:t>W ramach przedmiotowego typu projektów możliwe będzie opracowanie Miejskich Planów Adaptacji.</w:t>
      </w:r>
      <w:r>
        <w:br/>
        <w:t>3. Przeciwdziałanie skutkom suszy i powodzi</w:t>
      </w:r>
      <w:r>
        <w:br/>
      </w:r>
      <w:r>
        <w:br/>
        <w:t xml:space="preserve">W ramach działania wspierane będą inwestycje dotyczące retencjonowania wody, w tym małej retencji (z wykluczeniem retencji powstałej w wyniku przegradzania cieków wodnych) mające na celu likwidację przyczyn i skutków pogorszenia naturalnych stosunków wodnych poprzez spowalnianie odpływu wody, minimalizację skutków suszy, przeciwdziałanie powodzi i odtworzenie lub zachowanie istniejących obszarów wodno-błotnych m.in. poprzez wspieranie prośrodowiskowych metod retencjonowania wody, </w:t>
      </w:r>
      <w:r>
        <w:lastRenderedPageBreak/>
        <w:t>tj. zachowanie naturalnych „zbiorników retencyjnych”. Możliwe będzie wsparcie funkcji retencyjnych małych zbiorników wodnych, tj. do 5 mnl m3 pojemności wykorzystujących naturalne mechanizmy, (w tym stawy rybne),np. w zakresie modernizacji lub remontu infrastruktury zasilającej bądź odprowadzającej wodę.</w:t>
      </w:r>
      <w:r w:rsidR="002D509E">
        <w:t xml:space="preserve"> </w:t>
      </w:r>
      <w:r>
        <w:br/>
      </w:r>
      <w:r>
        <w:br/>
        <w:t xml:space="preserve">W przypadku niewystarczających naturalnych mechanizmów ograniczających skutki susz i powodzi, wsparcie uzyskają także inwestycje z zakresu budowy, przebudowy lub remontu urządzeń wodnych i infrastruktury hydrotechnicznej mających szczególne znaczenie z punktu widzenia skutecznego zarządzania, przeciwdziałania i ograniczania skutków suszy i powodzi (np.: kanały, rowy, wały przeciwpowodziowe, suche zbiorniki – poldery), a także inwestycje związane z budową, przebudową kanalizacji deszczowej wraz ze zbiornikami retencyjnymi, umożliwiające ponowne wykorzystanie wód opadowych, m.in. do nawadniania terenów zielonych i celów komunalnych. </w:t>
      </w:r>
      <w:r>
        <w:br/>
      </w:r>
      <w:r>
        <w:br/>
        <w:t>Inwestycje przeciwpowodziowe powinny koncentrować się na obszarach wskazanych w Mapach zagrożenia powodziowego (MZP) i mapach ryzyka powodziowego (MRP), lub wynikać z miejskich planów adaptacji do zmian klimatu.</w:t>
      </w:r>
      <w:r>
        <w:br/>
      </w:r>
      <w:r>
        <w:br/>
        <w:t>Projekty dotyczące gospodarowania wodami opadowymi, metodami innymi niż naturalne, są możliwe, jeśli spełniają łącznie następujące warunki:</w:t>
      </w:r>
      <w:r w:rsidR="002D509E">
        <w:t xml:space="preserve"> </w:t>
      </w:r>
      <w:r>
        <w:br/>
      </w:r>
      <w:r>
        <w:br/>
        <w:t>- zostały uwzględnione w planach adaptacji do zmian klimatu (w przypadku beneficjentów, dla których tego typu dokument jest obligatoryjny) lub znajdują się na terenach gdzie istnieje zagrożenie powodziowe, w tym zagrożenie podtopień i zalań będących konsekwencją ekstremalnych zjawisk pogodowych;</w:t>
      </w:r>
      <w:r>
        <w:br/>
        <w:t>- wykorzystują zieloną i niebieską infrastrukturę do zatrzymywania wody w miejscu opadu na terenach miejskich (nie na odpływie) oraz, o ile to możliwe, rozwiązania oparte na przyrodzie;</w:t>
      </w:r>
      <w:r w:rsidR="002D509E">
        <w:t xml:space="preserve"> </w:t>
      </w:r>
      <w:r>
        <w:br/>
      </w:r>
      <w:r>
        <w:br/>
        <w:t>- nie są związane z gospodarką ściekami komunalnymi.</w:t>
      </w:r>
      <w:r w:rsidR="002D509E">
        <w:t xml:space="preserve"> </w:t>
      </w:r>
      <w:r>
        <w:br/>
      </w:r>
      <w:r>
        <w:br/>
        <w:t>Dla inwestycji z zakresu przeciwdziałania skutkom suszy i powodzi elementem kwalifikowalnym projektu będzie promowanie oraz podnoszenie świadomości mieszkańców/instytucji w zakresie mitygacji zmian klimatu.</w:t>
      </w:r>
      <w:r>
        <w:br/>
        <w:t>Obligatoryjne warunki wsparcia</w:t>
      </w:r>
      <w:r w:rsidR="002D509E">
        <w:t xml:space="preserve"> </w:t>
      </w:r>
      <w:r>
        <w:br/>
      </w:r>
      <w:r>
        <w:br/>
        <w:t>Wsparcie projektów zidentyfikowanych w Strategiach ZIT.</w:t>
      </w:r>
      <w:r>
        <w:br/>
        <w:t>Wsparcie w ramach 1 oraz 2 typu projektu będzie skierowane do miast poniżej 20 tys. mieszkańców oprócz stolic powiatów o liczbie mieszkańców w przedziale 15-20 tys. mieszkańców.</w:t>
      </w:r>
      <w:r w:rsidR="002D509E">
        <w:t xml:space="preserve"> </w:t>
      </w:r>
      <w:r>
        <w:br/>
      </w:r>
      <w:r>
        <w:br/>
        <w:t>Powyższe ograniczenie nie obowiązuje dla projektów ujętych na liście ZIT (o której mowa w art. 34 ust. 15 pkt 3 ustawy wdrożeniowej), dla których planowanym źródłem finansowania jest program regionalny.</w:t>
      </w:r>
      <w:r>
        <w:br/>
      </w:r>
      <w:r>
        <w:br/>
      </w:r>
      <w:r w:rsidR="002D509E">
        <w:t xml:space="preserve"> </w:t>
      </w:r>
      <w:r>
        <w:t>W ramach 3 typu projektu wykluczone ze wsparcia będą</w:t>
      </w:r>
      <w:r w:rsidR="002D509E">
        <w:t xml:space="preserve"> </w:t>
      </w:r>
      <w:r>
        <w:t xml:space="preserve">projekty powodujące zastosowanie art.4.7 </w:t>
      </w:r>
      <w:r>
        <w:lastRenderedPageBreak/>
        <w:t>Ramowej Dyrektywy Wodnej.</w:t>
      </w:r>
      <w:r>
        <w:br/>
        <w:t>W ramach 3 typu projektu nie będą finansowane inwestycje służące innym celom (np. rekreacja, turystyka, melioracja na obszarach wiejskich).</w:t>
      </w:r>
      <w:r>
        <w:br/>
        <w:t>W ramach 3 typu projektu przedsięwzięcia dotyczące małej retencji będą wspierane w przypadku projektów realizowanych przez podmioty inne niż podlegające/nadzorowane przez administrację centralną.</w:t>
      </w:r>
      <w:r>
        <w:br/>
        <w:t>We wszystkich projektach, w których będzie to zasadne i możliwe, będą musiały zostać zastosowane rozwiązania w zakresie obiegu cyrkularnego, w tym efektywności energetycznej i użycia energii ze źródeł odnawialnych.</w:t>
      </w:r>
      <w:r>
        <w:br/>
        <w:t>Wspierane będą wyłącznie działania zgodne z zasadą DNSH (art. 17 rozporządzenia (UE) 2020/852).</w:t>
      </w:r>
      <w:r>
        <w:br/>
        <w:t>Projekty realizowane w ramach działania będą musiały być zgodne z Dyrektywą Rady 92/43/EWG w sprawie ochrony siedlisk przyrodniczych oraz dzikiej fauny i flory, a także Dyrektywą Parlamentu Europejskiego i Rady 2009/147/WE w sprawie ochrony dzikiego ptactwa. </w:t>
      </w:r>
      <w:r>
        <w:br/>
      </w:r>
      <w:r>
        <w:br/>
        <w:t>Wspierane inwestycje nie mogą powodować nieosiągnięcia dobrego stanu lub potencjału jednolitych części wód, nie mogą też pogarszać stanu lub potencjału jednolitych części wód oraz nie mogą mieć znaczącego wpływu na cele ochrony obszarów objętych siecią Natura 2000, chyba że zachodzą przesłanki do odstępstw przewidzianych w Dyrektywie Siedliskowej. </w:t>
      </w:r>
      <w:r>
        <w:br/>
      </w:r>
      <w:r>
        <w:br/>
        <w:t>Działanie będzie realizowane z uwzględnieniem zasad horyzontalnych (zgodnie z art. 9 Rozporządzenia Parlamentu Europejskiego i Rady (UE) nr 2021/1060 z dnia 24 czerwca 2021 r.), a obowiązek ich stosowania wynika z Umowy Partnerstwa, programu oraz wytycznych. </w:t>
      </w:r>
      <w:r>
        <w:br/>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Projekt zgodny z zasadą deinstytucjonalizacji.</w:t>
      </w:r>
      <w:r>
        <w:br/>
        <w:t>Preferowane warunki wsparcia</w:t>
      </w:r>
      <w:r>
        <w:br/>
        <w:t>Przy realizacji inwestycji zalecane jest wykorzystanie dobrych praktyk w zakresie ochrony środowiska, w szczególności standardów ochrony drzew [Standardy Ochrony Drzew - Narodowy Fundusz Ochrony Środowiska i Gospodarki Wodnej - Portal Gov.pl (www.gov.pl)].</w:t>
      </w:r>
      <w:r>
        <w:br/>
        <w:t>Preferowana będzie realizacja zielonych zamówień publicznych w oparciu o opracowane przez KE wspólne kryteria możliwe do stosowania w państwach członkowskich Unii.</w:t>
      </w:r>
      <w:r>
        <w:br/>
        <w:t xml:space="preserve">W tym obszarze identyfikuje się potencjał dla wsparcia opartego na wymianie doświadczeń, w szczególności ze źródeł międzynarodowych. W ramach tego celu przewiduje się również wspierać samą wymianę doświadczeń, z odpowiednim skutkiem w działaniach edukacyjnych, doradczych, zwiększających dostęp do wiedzy i danych w zakresie zmian klimatycznych i wczesnego zapobiegania ryzyku. Mając na uwadze, iż województwo śląskie objęte jest programami współpracy terytorialnej Interreg, interwencja zaplanowana w ramach niniejszego celu szczegółowego będzie komplementarna wobec działań realizowanych w:- Programie Interreg Polska-Słowacja, w ramach Priorytetu 1 Przyjazne </w:t>
      </w:r>
      <w:r>
        <w:lastRenderedPageBreak/>
        <w:t>naturze i bezpieczne Pogranicze- Programie Interreg Czechy -Polska, w ramach Priorytetu 1 Zintegrowany system ratownictwa i środowisko- Interreg Europa Środkowa 2021-2027 poprzez Priorytet 2 Współpraca na rzecz bardziej zielonej Europy- Interreg Europa 2021-2027. W ramach działań należy dążyć do synergii z europejskimi i krajowymi instrumentami, wykorzystując wyniki innych programów, np. Horyzont Europa, LIFE+. </w:t>
      </w:r>
      <w:r>
        <w:br/>
      </w:r>
      <w:r>
        <w:br/>
        <w:t>. Premiowane będą projekty, które mają istotny wkład w realizację jednego z sześciu celów środowiskowych określanych w rozporządzeniu (UE) 2020/852. </w:t>
      </w:r>
      <w:r>
        <w:br/>
      </w:r>
      <w:r>
        <w:br/>
        <w:t>Premiowane będą projekty realizujące założenia Nowego Europejskiego Bauhausu </w:t>
      </w:r>
    </w:p>
    <w:p w14:paraId="02C50B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B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B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B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B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B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B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B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B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B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B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B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B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B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B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B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B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B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2C50B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B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Organizacje społeczne i związki wyznaniowe, Partnerstwa, Przedsiębiorstwa, Służby publiczne, Zintegrowane Inwestycje Terytorialne (ZIT)</w:t>
      </w:r>
    </w:p>
    <w:p w14:paraId="02C50B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B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odpowiedzialne za gospodarkę wodną, Jednostki Samorządu Terytorialnego, MŚP, Organizacje pozarządowe, Partnerstwa instytucji pozarządowych, Partnerstwa Publiczno-Prywatne, Pozarządowe organizacje turystyczne, Wspólnoty, spółdzielnie mieszkaniowe, TBS i SIM, Zintegrowane Inwestycje Terytorialne (ZIT)</w:t>
      </w:r>
    </w:p>
    <w:p w14:paraId="02C50B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B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adaptacja_do_zmian_klimatu, edukacja_klimatyczna, ekosystem, klęski_żywiołowe, klimat, neutralność_klimatyczna, ochrona_klimatu, zmiany_klimatu</w:t>
      </w:r>
    </w:p>
    <w:p w14:paraId="02C50B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B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B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B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B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B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WLWK-PLRO172 - Długość udrożnionego ekologicznie korytarza rzecznego</w:t>
      </w:r>
    </w:p>
    <w:p w14:paraId="02C50B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WLWK-PLRO058 - Długość wybudowanej sieci kanalizacji deszczowej</w:t>
      </w:r>
    </w:p>
    <w:p w14:paraId="02C50B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WLWK-PLRO059 - Długość zmodernizowanej sieci kanalizacji deszczowej</w:t>
      </w:r>
    </w:p>
    <w:p w14:paraId="02C50B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WLWK-PLRO170 - Długość zreanaturyzowanych i zrewitalizowanych odcinków koryta cieku</w:t>
      </w:r>
    </w:p>
    <w:p w14:paraId="02C50B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WLWK-RCO024 - Inwestycje w nowe lub zmodernizowane systemy monitorowania, gotowości, ostrzegania i reagowania w kontekście klęsk żywiołowych i katastrof w przypadku klęsk żywiołowych</w:t>
      </w:r>
    </w:p>
    <w:p w14:paraId="02C50B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WLWK-RCO027 - Krajowe oraz regionalne i lokalne strategie na rzecz przystosowania się do zmian klimatu</w:t>
      </w:r>
    </w:p>
    <w:p w14:paraId="02C50B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WLWK-PLRO178 - Liczba miast wspartych w zakresie adaptacji do zmian klimatu</w:t>
      </w:r>
    </w:p>
    <w:p w14:paraId="02C50B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WLWK-PLRO175 - Liczba opracowanych ekspertyz, ocen, analiz, koncepcji, studiów</w:t>
      </w:r>
    </w:p>
    <w:p w14:paraId="02C50B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B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WLWK-PLRO167 - Liczba wybudowanych, przebudowanych i wyremontowanych urządzeń wodnych (w tym obiektów kompleksowych)</w:t>
      </w:r>
    </w:p>
    <w:p w14:paraId="02C50B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WLWK-PLRO169 - Liczba zlikwidowanych urządzeń wodnych (w tym obiektów kompleksowych)</w:t>
      </w:r>
    </w:p>
    <w:p w14:paraId="02C50B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0B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WLWK-RCO025 - Nowo wybudowane lub wzmocnione środki ochrony przeciwpowodziowej wybrzeża morskiego oraz brzegów rzek i jezior</w:t>
      </w:r>
    </w:p>
    <w:p w14:paraId="02C50B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WLWK-RCO106 - Nowo wybudowane lub wzmocnione środki ochrony przed osunięciami ziemi</w:t>
      </w:r>
    </w:p>
    <w:p w14:paraId="02C50B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WLWK-PLRO044 - Pojemność obiektów małej retencji</w:t>
      </w:r>
    </w:p>
    <w:p w14:paraId="02C50B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WLWK-RCO121 - Powierzchnia objęta środkami ochrony przed klęskami żywiołowymi związanymi z klimatem (oprócz powodzi i niekontrolowanych pożarów)</w:t>
      </w:r>
    </w:p>
    <w:p w14:paraId="02C50B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WLWK-PLRO166 - Powierzchnia obszaru zagrożonego powodzią lub katastrofą urządzenia wodnego, która zostanie objęta ochroną w wyniku realizacji inwestycji</w:t>
      </w:r>
    </w:p>
    <w:p w14:paraId="02C50B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WLWK-PLRO168 - Powierzchnia odtworzonych obszarów zalewowych</w:t>
      </w:r>
    </w:p>
    <w:p w14:paraId="02C50B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0B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WLWK-RCO026 - Zielona infrastruktura wybudowana lub zmodernizowana w celu przystosowania się do zmian klimatu</w:t>
      </w:r>
    </w:p>
    <w:p w14:paraId="02C50B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B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B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02C50B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WLWK-RCR035 - Ludność odnosząca korzyści ze środków ochrony przeciwpowodziowej</w:t>
      </w:r>
    </w:p>
    <w:p w14:paraId="02C50B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WLWK-RCR037 - Ludność odnosząca korzyści ze środków ochrony przed klęskami żywiołowymi związanymi z klimatem (oprócz powodzi lub niekontrolowanych pożarów)</w:t>
      </w:r>
    </w:p>
    <w:p w14:paraId="02C50B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0B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BA2"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3" w:name="_Toc235079761"/>
      <w:r>
        <w:rPr>
          <w:rFonts w:ascii="Calibri" w:hAnsi="Calibri" w:cs="Calibri"/>
          <w:sz w:val="32"/>
        </w:rPr>
        <w:t>Działanie FESL.02.10 Wzmocnienie potencjału służb ratowniczych</w:t>
      </w:r>
      <w:bookmarkEnd w:id="23"/>
    </w:p>
    <w:p w14:paraId="02C50B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B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EFRR/FS.CP2.IV - Wspieranie przystosowania się do zmian klimatu i zapobiegania ryzyku związanemu z klęskami żywiołowymi i katastrofami, a także odporności, z uwzględnieniem podejścia ekosystemowego</w:t>
      </w:r>
    </w:p>
    <w:p w14:paraId="02C50B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B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10 180 200,00</w:t>
      </w:r>
    </w:p>
    <w:p w14:paraId="02C50B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B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8 982 530,00</w:t>
      </w:r>
    </w:p>
    <w:p w14:paraId="02C50B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B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059 - Działania w zakresie przystosowania się do zmian klimatu oraz zapobieganie ryzykom związanym z klimatem i zarządzanie nimi: pożary (w tym zwiększanie świadomości, ochrona ludności i systemy zarządzania klęskami żywiołowymi i katastrofami, infrastruktura i podejście ekosystemowe)</w:t>
      </w:r>
    </w:p>
    <w:p w14:paraId="02C50B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BAC" w14:textId="499D2EA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Typ projektu </w:t>
      </w:r>
      <w:r>
        <w:br/>
      </w:r>
      <w:r>
        <w:br/>
        <w:t>1.</w:t>
      </w:r>
      <w:r>
        <w:tab/>
        <w:t>Wzmocnienie potencjału służb ratowniczych </w:t>
      </w:r>
      <w:r>
        <w:br/>
      </w:r>
      <w:r>
        <w:br/>
        <w:t>Wsparciem będą objęte działania polegające na wyposażeniu jednostek OSP oraz innych służb ratowniczych w sprzęt niezbędny do przeciwdziałania i usuwania skutków klęsk żywiołowych, dzięki czemu zostanie zapewniona skuteczniejsza i efektywniejsza pomoc mieszkańcom regionu w sytuacjach wystąpienia zjawisk katastrofalnych. W uzasadnionych przypadkach, np. na dalszym etapie realizacji Programu w tym przy dostępności środków, wsparcie może być skierowane do jednostek Państwowej Straży Pożarnej.</w:t>
      </w:r>
      <w:r>
        <w:br/>
        <w:t>Obligatoryjne warunki wsparcia </w:t>
      </w:r>
      <w:r>
        <w:br/>
      </w:r>
      <w:r>
        <w:br/>
        <w:t>W ramach interwencji o wsparcie ubiegać się mogą jednostki Ochotniczej Straży Pożarnej funkcjonujące w ramach KSRG (dopuszcza się również możliwość wsparcia OSP, które w wyniku uzyskania wsparcia interwencji z programu będą mogły ubiegać się o włączenie do KSRG) oraz inne specjalistyczne jednostki ratownicze współpracujące w ramach systemu np. GOPR, WOPR.</w:t>
      </w:r>
      <w:r>
        <w:br/>
      </w:r>
      <w:r>
        <w:br/>
        <w:t>Ze wsparcia w ramach działania wyłączone są podmioty z terenu gmin, które zostały objęte stanem klęski żywiołowej zgodnie z Rozporządzeniem Rady Ministrów z dnia 16 września 2024 r.</w:t>
      </w:r>
      <w:r w:rsidR="002D509E">
        <w:t xml:space="preserve"> </w:t>
      </w:r>
      <w:r>
        <w:t>w sprawie wprowadzenia stanu klęski żywiołowej na obszarze części województwa dolnośląskiego, opolskiego oraz śląskiego,</w:t>
      </w:r>
      <w:r w:rsidR="002D509E">
        <w:t xml:space="preserve"> </w:t>
      </w:r>
      <w:r>
        <w:t>tj. z terenu powiatów: raciborskiego, cieszyńskiego, pszczyńskiego, bielskiego oraz Miasta Bielsko-Biała.</w:t>
      </w:r>
      <w:r>
        <w:br/>
      </w:r>
      <w:r>
        <w:br/>
        <w:t>We wszystkich projektach, w których będzie to zasadne i możliwe, będą musiały zostać zastosowane rozwiązania w zakresie obiegu cyrkularnego, w tym efektywności energetycznej i użycia energii ze źródeł odnawialnych.</w:t>
      </w:r>
      <w:r w:rsidR="002D509E">
        <w:t xml:space="preserve"> </w:t>
      </w:r>
      <w:r>
        <w:br/>
      </w:r>
      <w:r>
        <w:br/>
        <w:t>Działanie będzie realizowane z uwzględnieniem zasad horyzontalnych (zgodnie z art. 9 Rozporządzenia Parlamentu Europejskiego i Rady (UE) nr 2021/1060 z dnia 24 czerwca 2021 r.), a obowiązek ich stosowania wynika z Umowy Partnerstwa, programu oraz wytycznych. </w:t>
      </w:r>
      <w:r>
        <w:br/>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Projekt jest zgodny z zasadą deinstytucjonalizacji.</w:t>
      </w:r>
      <w:r>
        <w:br/>
        <w:t>Preferowane warunki wsparcia </w:t>
      </w:r>
      <w:r>
        <w:br/>
      </w:r>
      <w:r>
        <w:br/>
        <w:t xml:space="preserve">Preferowana będzie realizacja zielonych zamówień publicznych w oparciu o opracowane przez KE </w:t>
      </w:r>
      <w:r>
        <w:lastRenderedPageBreak/>
        <w:t>wspólne kryteria możliwe do stosowania w państwach członkowskich Unii. </w:t>
      </w:r>
      <w:r>
        <w:br/>
      </w:r>
      <w:r>
        <w:br/>
        <w:t>Premiowane będą projekty, które mają istotny wkład w realizację jednego z sześciu celów środowiskowych określanych w rozporządzeniu (UE) 2020/852. </w:t>
      </w:r>
      <w:r>
        <w:br/>
      </w:r>
      <w:r>
        <w:br/>
        <w:t>Premiowane będą projekty realizujące założenia Nowego Europejskiego Bauhausu. </w:t>
      </w:r>
      <w:r>
        <w:br/>
      </w:r>
      <w:r>
        <w:br/>
        <w:t>Możliwe jest wsparcie lub preferencje w obszarze wzmocnienia potencjału służb ratowniczych dla przedsięwzięć odpowiadających potrzebom lokalnym w uzgodnieniu z Lokalnymi Grupami Działania. Weryfikacja zgodności projektu z celami strategii rozwoju lokalnego kierowanego przez społeczność (LSR) nastąpi na podstawie potwierdzenia wystawionego przez Lokalną Grupę Działania. Wsparcie oferowane będzie dla projektów realizowanych na obszarze ww. strategii realizowanej w ramach umowy o warunkach i sposobie realizacji strategii rozwoju lokalnego kierowanego przez społeczność lokalną zawartej z Zarządem Województwa Śląskiego.</w:t>
      </w:r>
      <w:r w:rsidR="002D509E">
        <w:t xml:space="preserve"> </w:t>
      </w:r>
    </w:p>
    <w:p w14:paraId="02C50B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B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B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B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B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B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B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B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B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B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B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B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B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B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B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B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B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B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02C50B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B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Przedsiębiorstwa, Służby publiczne</w:t>
      </w:r>
    </w:p>
    <w:p w14:paraId="02C50B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B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Duże przedsiębiorstwa, Jednostki organizacyjne działające w imieniu jednostek samorządu terytorialnego, Jednostki Samorządu Terytorialnego, Lokalne Grupy Działania, Organizacje pozarządowe, Podmioty świadczące usługi publiczne w ramach realizacji obowiązków własnych jednostek samorządu terytorialnego, Policja, straż pożarna i służby ratownicze</w:t>
      </w:r>
    </w:p>
    <w:p w14:paraId="02C50B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B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ekosystem, jednostka_ratownicza, klęski_żywiołowe, ochrona_klimatu, ratownictwo, straż_pożarna, strażacy</w:t>
      </w:r>
    </w:p>
    <w:p w14:paraId="02C50B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B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02C50B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B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B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B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WLWK-RCO024 - Inwestycje w nowe lub zmodernizowane systemy monitorowania, gotowości, ostrzegania i reagowania w kontekście klęsk żywiołowych i katastrof w przypadku klęsk żywiołowych</w:t>
      </w:r>
    </w:p>
    <w:p w14:paraId="02C50B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WLWK-RCO122 - Inwestycje w nowe lub zmodernizowane systemy monitorowania, gotowości, ostrzegania i reagowania w kontekście klęsk żywiołowych i katastrof w przypadku ryzyk naturalnych niezwiązanych z klimatem oraz ryzyk związanych z działalnością człowieka</w:t>
      </w:r>
    </w:p>
    <w:p w14:paraId="02C50B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WLWK-PLRO041 - Liczba jednostek służb ratowniczych doposażonych w sprzęt do prowadzenia akcji ratowniczych i usuwania skutków katastrof</w:t>
      </w:r>
    </w:p>
    <w:p w14:paraId="02C50B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B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B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WLWK-PLRO042 - Liczba zakupionych wozów pożarniczych wyposażonych w sprzęt do prowadzenia akcji ratowniczych i usuwania skutków katastrof</w:t>
      </w:r>
    </w:p>
    <w:p w14:paraId="02C50B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WLWK-RCO121 - Powierzchnia objęta środkami ochrony przed klęskami żywiołowymi związanymi z klimatem (oprócz powodzi i niekontrolowanych pożarów)</w:t>
      </w:r>
    </w:p>
    <w:p w14:paraId="02C50B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WLWK-RCO028 - Powierzchnia objęta środkami ochrony przed niekontrolowanymi pożarami</w:t>
      </w:r>
    </w:p>
    <w:p w14:paraId="02C50B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B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WLWK-PLRR051 - Liczba przedsięwzięć proekologicznych</w:t>
      </w:r>
    </w:p>
    <w:p w14:paraId="02C50B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WLWK-RCR035 - Ludność odnosząca korzyści ze środków ochrony przeciwpowodziowej</w:t>
      </w:r>
    </w:p>
    <w:p w14:paraId="02C50B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WLWK-RCR037 - Ludność odnosząca korzyści ze środków ochrony przed klęskami żywiołowymi związanymi z klimatem (oprócz powodzi lub niekontrolowanych pożarów)</w:t>
      </w:r>
    </w:p>
    <w:p w14:paraId="02C50B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WLWK-RCR036 - Ludność odnosząca korzyści ze środków ochrony przed niekontrolowanymi pożarami</w:t>
      </w:r>
    </w:p>
    <w:p w14:paraId="02C50B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WLWK-RCR096 - Ludność odnosząca korzyści ze środków ochrony przed ryzykami naturalnymi niezwiązanymi z klimatem oraz ryzykami związanymi z działalnością człowieka</w:t>
      </w:r>
    </w:p>
    <w:p w14:paraId="02C50B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0B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BD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4" w:name="_Toc235079762"/>
      <w:r>
        <w:rPr>
          <w:rFonts w:ascii="Calibri" w:hAnsi="Calibri" w:cs="Calibri"/>
          <w:sz w:val="32"/>
        </w:rPr>
        <w:t>Działanie FESL.02.11 Infrastruktura wodno-kanalizacyjna</w:t>
      </w:r>
      <w:bookmarkEnd w:id="24"/>
    </w:p>
    <w:p w14:paraId="02C50B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B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 - Wspieranie bezpiecznego dostępu do wody, zrównoważonej gospodarki wodnej obejmującej zintegrowane zarządzanie wodą, a także odporności wodnej</w:t>
      </w:r>
    </w:p>
    <w:p w14:paraId="02C50B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B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65 884 785,00</w:t>
      </w:r>
    </w:p>
    <w:p w14:paraId="02C50B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B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58 133 634,00</w:t>
      </w:r>
    </w:p>
    <w:p w14:paraId="02C50B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B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062 - Dostarczanie wody do spożycia przez ludzi (infrastruktura do celów ujęcia, uzdatniania, magazynowania i dystrybucji, działania na rzecz efektywności, zaopatrzenie w wodę do spożycia), 065 - Odprowadzanie i oczyszczanie ścieków</w:t>
      </w:r>
    </w:p>
    <w:p w14:paraId="02C50B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BE4" w14:textId="25479D1D"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rsidR="002D509E">
        <w:t xml:space="preserve"> </w:t>
      </w:r>
      <w:r>
        <w:br/>
      </w:r>
      <w:r w:rsidR="002D509E">
        <w:t xml:space="preserve"> </w:t>
      </w:r>
      <w:r>
        <w:t>1. Budowa i modernizacja sieci kanalizacji dla ścieków komunalnych, w tym kanalizacji deszczowej </w:t>
      </w:r>
      <w:r>
        <w:br/>
      </w:r>
      <w:r w:rsidR="002D509E">
        <w:t xml:space="preserve"> </w:t>
      </w:r>
      <w:r>
        <w:t>2. Budowa i modernizacja oczyszczalni ścieków komunalnych.</w:t>
      </w:r>
      <w:r w:rsidR="002D509E">
        <w:t xml:space="preserve"> </w:t>
      </w:r>
      <w:r>
        <w:br/>
      </w:r>
      <w:r w:rsidR="002D509E">
        <w:t xml:space="preserve"> </w:t>
      </w:r>
      <w:r>
        <w:t>3. Budowa i modernizacja instalacji do zagospodarowania komunalnych osadów ściekowych.</w:t>
      </w:r>
      <w:r w:rsidR="002D509E">
        <w:t xml:space="preserve"> </w:t>
      </w:r>
      <w:r>
        <w:br/>
      </w:r>
      <w:r w:rsidR="002D509E">
        <w:t xml:space="preserve"> </w:t>
      </w:r>
      <w:r>
        <w:t>4. Budowa i modernizacja systemów zaopatrzenia w wodę.</w:t>
      </w:r>
      <w:r>
        <w:br/>
        <w:t>Działania w ramach poszczególnych typów:</w:t>
      </w:r>
      <w:r>
        <w:br/>
        <w:t>1. Budowa i modernizacja sieci kanalizacji dla ścieków komunalnych, w tym kanalizacji deszczowej </w:t>
      </w:r>
      <w:r>
        <w:br/>
        <w:t>Wsparciem objęte zostaną działania polegające na budowie lub modernizacji sieci kanalizacyjnych, co przyczyni się do zwiększeniu odsetka ludności, korzystającej z systemu oczyszczania ścieków.</w:t>
      </w:r>
      <w:r w:rsidR="002D509E">
        <w:t xml:space="preserve"> </w:t>
      </w:r>
      <w:r>
        <w:br/>
        <w:t>Na obszarze województwa śląskiego priorytetowo o wsparcie mogą ubiegać się aglomeracje z przedziału od co najmniej 10 tys. RLM do poniżej 15 tys. RLM, które nie spełniają wymogów dyrektywy ściekowej.</w:t>
      </w:r>
      <w:r w:rsidR="002D509E">
        <w:t xml:space="preserve"> </w:t>
      </w:r>
      <w:r>
        <w:t xml:space="preserve">W </w:t>
      </w:r>
      <w:r>
        <w:lastRenderedPageBreak/>
        <w:t>dalszej kolejności o wsparcie będą mogły się ubiegać aglomeracje naruszeniowe z przedziału od co najmniej 2 tys. RLM do poniżej -10 tys. RLM. </w:t>
      </w:r>
      <w:r>
        <w:br/>
        <w:t>Realizacja projektów związanych ze wsparciem systemów zaopatrzenia w wodę polegających na ich budowie będzie dopuszczalna w ramach typu 1, w ograniczonym zakresie jako uzupełniający element projektów dotyczących gospodarki ściekowej (limit na poziomie projektu: 25% kosztów kwalifikowanych projektu)</w:t>
      </w:r>
      <w:r>
        <w:br/>
        <w:t>2. Budowa i modernizacja oczyszczalni ścieków komunalnych.</w:t>
      </w:r>
      <w:r w:rsidR="002D509E">
        <w:t xml:space="preserve"> </w:t>
      </w:r>
      <w:r>
        <w:br/>
        <w:t>Wsparciem objęte zostaną działania polegające na budowie lub modernizacji oczyszczalni ścieków, co przyczyni się do zwiększeniu odsetka ludności, korzystającej z systemu oczyszczania ścieków.</w:t>
      </w:r>
      <w:r>
        <w:br/>
        <w:t>3. Budowa i modernizacja instalacji do zagospodarowania komunalnych osadów ściekowych.</w:t>
      </w:r>
      <w:r w:rsidR="002D509E">
        <w:t xml:space="preserve"> </w:t>
      </w:r>
      <w:r>
        <w:br/>
        <w:t>W ramach danego typu projektu wsparciem mogą zostać objęte inwestycje mające na celu zagospodarowanie osadów ściekowych, polegające m.in. na budowie instalacji unieszkodliwiania i przetwarzania osadów ściekowych w celu ich ponownego zagospodarowania. Kwalifikowalne będzie także wykorzystanie OZE w tego typu instalacjach pod warunkiem, że nie będzie to dominujący element projektu.</w:t>
      </w:r>
      <w:r>
        <w:br/>
        <w:t>4. Budowa i modernizacja systemów zaopatrzenia w wodę.</w:t>
      </w:r>
      <w:r w:rsidR="002D509E">
        <w:t xml:space="preserve"> </w:t>
      </w:r>
      <w:r>
        <w:br/>
        <w:t>W związku z faktem, iż infrastruktura wodociągowa województwa śląskiego charakteryzuje się wysokim poziomem strat wody, niezwykle istotne są inwestycje, których celem jest ograniczenie strat wody oraz awaryjności systemów. Dlatego też wsparciem objęte zostaną również projekty związane z efektywnymi i inteligentnymi systemami, w tym systemami pomiaru zużycia wody w wydzielonych obszarach sieci wodociągowej i SUW, monitoringiem strat sieciowych – wycieków, instalacjami monitoringowymi, rejestratorami przepływu i regulacji ciśnienia oraz działania zmierzające do oszczędzania wody w zbiorczych systemach zaopatrzenia w wodę do spożycia.</w:t>
      </w:r>
      <w:r w:rsidR="002D509E">
        <w:t xml:space="preserve"> </w:t>
      </w:r>
      <w:r>
        <w:br/>
        <w:t>Realizacja projektów związanych ze wsparciem systemów zaopatrzenia w wodę jako samodzielne projekty, będzie możliwa gdy na danym obszarze zapewniony jest sposób zagospodarowania ścieków zgodny z dyrektywą Rady 91/271/EWG dotyczącą oczyszczania ścieków komunalnych (bądź taka zgodność zostanie uzyskana w wyniku zakończenia realizowanych już projektów). Konkursy dla samodzielnych projektów zapewniających wsparcie dla systemów zaopatrzenia w wodę będą przeprowadzone pod warunkiem dysponowania środkami.</w:t>
      </w:r>
      <w:r w:rsidR="002D509E">
        <w:t xml:space="preserve"> </w:t>
      </w:r>
      <w:r>
        <w:br/>
        <w:t>Elementem kwalifikowalnym projektu będą kampanie podnoszące świadomość społeczeństwa w zakresie oszczędzania wody.</w:t>
      </w:r>
      <w:r w:rsidR="002D509E">
        <w:t xml:space="preserve"> </w:t>
      </w:r>
      <w:r>
        <w:br/>
        <w:t>W zakresie zaopatrzenia w wodę priorytetem będzie ograniczanie strat wody oraz efektywne wykorzystanie istniejących zasobów wody pitnej. Tego typu projekty będą mogły być wspierane zarówno kompleksowo z gospodarką ściekową, jak i niezależnie od projektów ściekowych.</w:t>
      </w:r>
      <w:r w:rsidR="002D509E">
        <w:t xml:space="preserve"> </w:t>
      </w:r>
      <w:r>
        <w:br/>
      </w:r>
      <w:r>
        <w:br/>
        <w:t>Obligatoryjne warunki wsparcia:</w:t>
      </w:r>
      <w:r w:rsidR="002D509E">
        <w:t xml:space="preserve"> </w:t>
      </w:r>
      <w:r>
        <w:br/>
        <w:t>Dla projektów z zakresu gospodarki ściekowej dokumentem stanowiącym podstawę do wyboru projektów będzie KPOŚK.</w:t>
      </w:r>
      <w:r w:rsidR="002D509E">
        <w:t xml:space="preserve"> </w:t>
      </w:r>
      <w:r>
        <w:br/>
        <w:t xml:space="preserve">Parametry takie jak naruszeniowość aglomeracji względem dyrektywy ściekowej, inwestycje zgodne z KPOŚK, lokalizacja inwestycji na obszarze aglomeracji czy liczba RLM kanalizacji wybudowanej/zmodernizowanej przyłączonej do sieci będą dodatkowo weryfikowane na podstawie sprawozdania z realizacji KPOŚK (najnowsze na dzień zamknięcia naboru), opracowywane przez </w:t>
      </w:r>
      <w:r>
        <w:lastRenderedPageBreak/>
        <w:t xml:space="preserve">Państwowe Gospodarstwo Wodne Wody Polskie. </w:t>
      </w:r>
      <w:r>
        <w:br/>
        <w:t>W przypadku inwestycji liniowych przecinających obszary szczególnego zagrożenia powodzią, zaplanowane rozwiązania techniczne (konstrukcyjne) winny spowodować, że inwestycja jest odporna na wezbrania wód powierzchniowych.</w:t>
      </w:r>
      <w:r w:rsidR="002D509E">
        <w:t xml:space="preserve"> </w:t>
      </w:r>
      <w:r>
        <w:br/>
        <w:t>Samodzielne projekty dotyczące budowy i modernizacji infrastruktury niezbędnej do ujęcia, uzdatniania, magazynowania i dystrybucji wody do spożycia mogą uzyskać wsparcie wyłącznie gminy o liczbie ludności poniżej 15 tys. mieszkańców oraz wpisujące się w 1 z 14 obszarów działań wskazanych w „Programie inwestycyjnym w zakresie poprawy jakości i ograniczenia strat wody przeznaczonej do spożycia przez ludzi..</w:t>
      </w:r>
      <w:r w:rsidR="002D509E">
        <w:t xml:space="preserve"> </w:t>
      </w:r>
      <w:r>
        <w:br/>
        <w:t>W przypadku projektów realizowanych w aglomeracjach od co najmniej 10 000 RLM, zastosowane technologie winny gwarantować osiągnięcie wymaganych standardów oczyszczania ścieków, w tym podwyższone standardy oczyszczania w zakresie usuwania biogenów.</w:t>
      </w:r>
      <w:r w:rsidR="002D509E">
        <w:t xml:space="preserve"> </w:t>
      </w:r>
      <w:r>
        <w:br/>
        <w:t>Inwestycje związane z budową samodzielnej kanalizacji deszczowej realizowane będą wyłącznie w ramach CS 2.4 dot. adaptacji do zmian klimatu.</w:t>
      </w:r>
      <w:r w:rsidR="002D509E">
        <w:t xml:space="preserve"> </w:t>
      </w:r>
      <w:r>
        <w:br/>
        <w:t>Nie jest możliwe wsparcie inwestycji, których zadaniem będzie składowanie komunalnych osadów ściekowych.</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 </w:t>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t>Projekt zgodny z zasadą deinstytucjonalizacji.</w:t>
      </w:r>
      <w:r w:rsidR="002D509E">
        <w:t xml:space="preserve"> </w:t>
      </w:r>
      <w:r>
        <w:br/>
      </w:r>
      <w:r>
        <w:br/>
        <w:t>Preferowane warunki wsparcia: </w:t>
      </w:r>
      <w:r>
        <w:br/>
        <w:t>W zakresie zaopatrzenia w wodę priorytetem będzie ograniczanie strat wody oraz efektywne wykorzystanie istniejących zasobów wody pitnej.</w:t>
      </w:r>
      <w:r w:rsidR="002D509E">
        <w:t xml:space="preserve"> </w:t>
      </w:r>
      <w:r>
        <w:br/>
        <w:t>Preferowana będzie realizacja zielonych zamówień publicznych w oparciu o opracowane przez KE wspólne kryteria możliwe do stosowania w państwach członkowskich Unii.</w:t>
      </w:r>
      <w:r w:rsidR="002D509E">
        <w:t xml:space="preserve"> </w:t>
      </w:r>
      <w:r>
        <w:br/>
        <w:t>Przy realizacji inwestycji zalecane jest wykorzystanie dobrych praktyk w zakresie ochrony środowiska, w szczególności standardów ochrony drzew (https://www.gov.pl/web/nfosigw/standardy-ochrony-drzew oraz http://drzewa.org.pl/standardy/).</w:t>
      </w:r>
      <w:r w:rsidR="002D509E">
        <w:t xml:space="preserve"> </w:t>
      </w:r>
      <w:r>
        <w:br/>
        <w:t>Premiowane będą projekty, które mają istotny wkład w realizację jednego z sześciu celów środowiskowych określanych w rozporządzeniu (UE) 2020/852. </w:t>
      </w:r>
      <w:r>
        <w:br/>
        <w:t>Premiowane będą projekty realizujące założenia Nowego Europejskiego Bauhausu. </w:t>
      </w:r>
      <w:r>
        <w:br/>
        <w:t>W projektach,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w:t>
      </w:r>
      <w:r w:rsidR="002D509E">
        <w:t xml:space="preserve"> </w:t>
      </w:r>
    </w:p>
    <w:p w14:paraId="02C50B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B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85</w:t>
      </w:r>
    </w:p>
    <w:p w14:paraId="02C50B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B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B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B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B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B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02C50B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B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B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B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B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B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B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B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B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B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B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B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Przedsiębiorstwa, Przedsiębiorstwa realizujące cele publiczne, Służby publiczne</w:t>
      </w:r>
    </w:p>
    <w:p w14:paraId="02C50B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B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przedsiębiorstwa, Instytucje odpowiedzialne za gospodarkę wodną, Jednostki organizacyjne działające w imieniu jednostek samorządu terytorialnego, Jednostki Samorządu Terytorialnego, MŚP, </w:t>
      </w:r>
      <w:r>
        <w:lastRenderedPageBreak/>
        <w:t>Organizacje pozarządowe, Partnerstwa Publiczno-Prywatne, Przedsiębiorstwa wodociągowo-kanalizacyjne, Spółki wodne</w:t>
      </w:r>
    </w:p>
    <w:p w14:paraId="02C50B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B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dostarczanie_wody, gospodarka_ściekowa, gospodarka_wodna, kanalizacja, oszczędność_zasobów, ścieki, sieć_kanalizacyjna, sieci_wodociagowe, stacja_uzdatniania_wody</w:t>
      </w:r>
    </w:p>
    <w:p w14:paraId="02C50B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B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B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C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C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C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WLWK-PLRO058 - Długość wybudowanej sieci kanalizacji deszczowej</w:t>
      </w:r>
    </w:p>
    <w:p w14:paraId="02C50C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WLWK-PLRO047 - Długość wybudowanej sieci kanalizacyjnej</w:t>
      </w:r>
    </w:p>
    <w:p w14:paraId="02C50C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WLWK-PLRO045 - Długość wybudowanej sieci wodociągowej</w:t>
      </w:r>
    </w:p>
    <w:p w14:paraId="02C50C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WLWK-PLRO059 - Długość zmodernizowanej sieci kanalizacji deszczowej</w:t>
      </w:r>
    </w:p>
    <w:p w14:paraId="02C50C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WLWK-PLRO048 - Długość zmodernizowanej sieci kanalizacyjnej</w:t>
      </w:r>
    </w:p>
    <w:p w14:paraId="02C50C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WLWK-PLRO046 - Długość zmodernizowanej sieci wodociągowej</w:t>
      </w:r>
    </w:p>
    <w:p w14:paraId="02C50C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WLWK-PLRO056 - Liczba doposażonych stacji uzdatniania wody</w:t>
      </w:r>
    </w:p>
    <w:p w14:paraId="02C50C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C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C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WLWK-PLRO055 - Liczba przebudowanych stacji uzdatniania wody</w:t>
      </w:r>
    </w:p>
    <w:p w14:paraId="02C50C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WLWK-PLRO052 - Liczba rozbudowanych / przebudowanych / zmodernizowanych oczyszczalni ścieków komunalnych</w:t>
      </w:r>
    </w:p>
    <w:p w14:paraId="02C50C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WLWK-PLRO234 - Liczba wdrożonych inteligentnych systemów zarządzania sieciami wodno-kanalizacyjnymi</w:t>
      </w:r>
    </w:p>
    <w:p w14:paraId="02C50C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WLWK-PLRO051 - Liczba wybudowanych oczyszczalni ścieków komunalnych</w:t>
      </w:r>
    </w:p>
    <w:p w14:paraId="02C50C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WLWK-PLRO054 - Liczba wybudowanych stacji uzdatniania wody</w:t>
      </w:r>
    </w:p>
    <w:p w14:paraId="02C50C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WLWK-RCO032 - Wydajność nowo wybudowanych lub zmodernizowanych instalacji oczyszczania ścieków</w:t>
      </w:r>
    </w:p>
    <w:p w14:paraId="02C50C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C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WLWK-PLRR039 - Ilość suchej masy komunalnych osadów ściekowych poddawanych procesom przetwarzania</w:t>
      </w:r>
    </w:p>
    <w:p w14:paraId="02C50C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WLWK-PLRR051 - Liczba przedsięwzięć proekologicznych</w:t>
      </w:r>
    </w:p>
    <w:p w14:paraId="02C50C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WLWK-PLRR038 - Ludność podłączona do wybudowanej lub zmodernizowanej zbiorczej kanalizacji sanitarnej</w:t>
      </w:r>
    </w:p>
    <w:p w14:paraId="02C50C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WLWK-RCR041 - Ludność przyłączona do udoskonalonych zbiorowych systemów zaopatrzenia w wodę</w:t>
      </w:r>
    </w:p>
    <w:p w14:paraId="02C50C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WLWK-RCR042 - Ludność przyłączona do zbiorowych systemów oczyszczania ścieków co najmniej II stopnia</w:t>
      </w:r>
    </w:p>
    <w:p w14:paraId="02C50C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0C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WLWK-RCR043 - Straty wody w zbiorowych systemach zaopatrzenia w wodę</w:t>
      </w:r>
    </w:p>
    <w:p w14:paraId="02C50C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WLWK-PLRR018 - Wielkość ładunku ścieków poddanych ulepszonemu oczyszczaniu</w:t>
      </w:r>
    </w:p>
    <w:p w14:paraId="02C50C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C1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5" w:name="_Toc235079763"/>
      <w:r>
        <w:rPr>
          <w:rFonts w:ascii="Calibri" w:hAnsi="Calibri" w:cs="Calibri"/>
          <w:sz w:val="32"/>
        </w:rPr>
        <w:t>Działanie FESL.02.12 Gospodarka odpadami komunalnymi</w:t>
      </w:r>
      <w:bookmarkEnd w:id="25"/>
    </w:p>
    <w:p w14:paraId="02C50C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C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 - Wspieranie transformacji w kierunku gospodarki o obiegu zamkniętym i gospodarki zasobooszczędnej</w:t>
      </w:r>
    </w:p>
    <w:p w14:paraId="02C50C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C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22 121 000,00</w:t>
      </w:r>
    </w:p>
    <w:p w14:paraId="02C50C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C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22 121 000,00</w:t>
      </w:r>
    </w:p>
    <w:p w14:paraId="02C50C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C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067 - Gospodarowanie odpadami z gospodarstw domowych: działania w zakresie zapobiegania powstawaniu odpadów, ich minimalizacji, segregacji, ponownego użycia, recyklingu</w:t>
      </w:r>
    </w:p>
    <w:p w14:paraId="02C50C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C25" w14:textId="20CF774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rsidR="002D509E">
        <w:t xml:space="preserve"> </w:t>
      </w:r>
      <w:r>
        <w:br/>
      </w:r>
      <w:r w:rsidR="002D509E">
        <w:t xml:space="preserve"> </w:t>
      </w:r>
      <w:r>
        <w:t>1. Budowa/rozwój/modernizacja zakładów odzysku i unieszkodliwiania odpadów</w:t>
      </w:r>
      <w:r w:rsidR="002D509E">
        <w:t xml:space="preserve"> </w:t>
      </w:r>
      <w:r>
        <w:br/>
      </w:r>
      <w:r w:rsidR="002D509E">
        <w:t xml:space="preserve"> </w:t>
      </w:r>
      <w:r>
        <w:t>2. Punkty selektywnej zbiórki odpadów komunalnych (PSZOK).</w:t>
      </w:r>
      <w:r w:rsidR="002D509E">
        <w:t xml:space="preserve"> </w:t>
      </w:r>
      <w:r>
        <w:br/>
        <w:t>3. Działania związane z tworzeniem strategii i planów oraz działania edukacyjne dotyczące GOZ.</w:t>
      </w:r>
      <w:r>
        <w:br/>
        <w:t>1. Budowa/rozwój/modernizacja zakładów odzysku i unieszkodliwiania odpadów</w:t>
      </w:r>
      <w:r w:rsidR="002D509E">
        <w:t xml:space="preserve"> </w:t>
      </w:r>
      <w:r>
        <w:br/>
        <w:t xml:space="preserve">Wsparciem objęte zostaną instalacje do recyklingu i odzysku (zgodnie z hierarchią postępowania z odpadami). W uzasadnionych przypadkach, (tj. dla inwestycji uwzględnionych w zał. nr 10 do Kontraktu Programowego dla Województwa Śląskiego) dopuszczalne będą inwestycje w modernizacje MBP tj. instalacji mechaniczno-biologicznego przetwarzania odpadów komunalnych, które mają na celu wprowadzenie nowych procesów technologicznych w celu zwiększenia stopnia odzysku surowców dobrej </w:t>
      </w:r>
      <w:r>
        <w:lastRenderedPageBreak/>
        <w:t>jakości (pod warunkiem wykazania wzrostu odzysku surowców w wyniku realizacji projektu oraz zapewnienie wysokiej jakości produktu na końcu procesu).</w:t>
      </w:r>
      <w:r w:rsidR="002D509E">
        <w:t xml:space="preserve"> </w:t>
      </w:r>
      <w:r>
        <w:br/>
        <w:t>Wsparcie mogą uzyskać inwestycje, polegające na budowie/rozbudowie/modernizacji linii sortowniczych przystosowanych do segregacji</w:t>
      </w:r>
      <w:r w:rsidR="002D509E">
        <w:t xml:space="preserve"> </w:t>
      </w:r>
      <w:r>
        <w:t>zarówno strumienia zmieszanych odpadów komunalnych, jak i sortowania odpadów ze zbiórki selektywnej prowadzone na terenie zakładów zagospodarowania odpadami.</w:t>
      </w:r>
      <w:r w:rsidR="002D509E">
        <w:t xml:space="preserve"> </w:t>
      </w:r>
      <w:r>
        <w:br/>
      </w:r>
      <w:r>
        <w:br/>
        <w:t>Obligatoryjne warunki wsparcia:</w:t>
      </w:r>
      <w:r w:rsidR="002D509E">
        <w:t xml:space="preserve"> </w:t>
      </w:r>
      <w:r>
        <w:br/>
        <w:t>Wsparcie projektów dot. instalacji gospodarki odpadami komunalnymi możliwe będzie pod warunkiem spełnienia wymogów ramowej dyrektywy odpadowej, dyrektywy składowiskowej oraz wynikania z Wojewódzkiego Planu Gospodarki Odpadami, </w:t>
      </w:r>
      <w:r>
        <w:br/>
        <w:t xml:space="preserve">Brak wsparcia dla termicznego przetwarzania oraz produkcji paliw RDF (refuse derived fuel). </w:t>
      </w:r>
      <w:r>
        <w:br/>
        <w:t>Obligatoryjny element projektów z zakresu gospodarki odpadami komunalnymi stanowi kampania, której przedmiotem będą działania informacyjno–edukacyjne dotyczące sposobów zapobiegania powstawaniu odpadów, a także zasad ich segregacji, które zwiększą świadomość w zakresie zrównoważonej konsumpcji i przyczynią się do zmniejszenia ubóstwa,</w:t>
      </w:r>
      <w:r w:rsidR="002D509E">
        <w:t xml:space="preserve"> </w:t>
      </w:r>
      <w:r>
        <w:br/>
        <w:t>W zakresie niniejszego typu projektu będą wspierane wyłącznie inwestycje o wartości kosztów kwalifikowalnych nie większych niż 12 mln złotych*,</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t>Projekt zgodny z zasadą deinstytucjonalizacji.</w:t>
      </w:r>
      <w:r w:rsidR="002D509E">
        <w:t xml:space="preserve"> </w:t>
      </w:r>
      <w:r>
        <w:br/>
      </w:r>
      <w:r>
        <w:br/>
        <w:t>*Zostanie zapewniona elastyczność zasad demarkacji na etapie wdrażania programów. W przypadku, gdy przestaną istnieć przesłanki wskazujące na możliwość wystąpienia podwójnego finansowania, np. na jednym z poziomów lub w danym programie wyczerpie się alokacja na dany typ działań przypisanych do tego poziomu lub programu, możliwe jest – po uzgodnieniu z Instytucją Koordynującą UP (PR) oraz właściwymi Instytucjami Zarządzającymi – dokonanie odstępstwa od zasad generalnych Linii demarkacyjnej. Tego typu zmiany nie wymagają zatwierdzenia przez Komitet Koordynacyjny Umowę Partnerstwa (KUP). Wsparcie możliwe przy zapewnieniu mechanizmu wykluczenia podwójnego finansowania ze środków innych programów. </w:t>
      </w:r>
      <w:r>
        <w:br/>
      </w:r>
      <w:r>
        <w:br/>
        <w:t>Preferowane warunki wsparcia:</w:t>
      </w:r>
      <w:r w:rsidR="002D509E">
        <w:t xml:space="preserve"> </w:t>
      </w:r>
      <w:r>
        <w:br/>
        <w:t>Preferowana będzie realizacja zielonych zamówień publicznych w oparciu o opracowane przez KE wspólne kryteria możliwe do stosowania w państwach członkowskich Unii,</w:t>
      </w:r>
      <w:r w:rsidR="002D509E">
        <w:t xml:space="preserve"> </w:t>
      </w:r>
      <w:r>
        <w:br/>
        <w:t>Przy realizacji inwestycji zalecane jest wykorzystanie dobrych praktyk w zakresie ochrony środowiska, w szczególności standardów ochrony drzew Standardy Ochrony Drzew - Narodowy Fundusz Ochrony Środowiska i Gospodarki Wodnej - Portal Gov.pl (www.gov.pl )</w:t>
      </w:r>
      <w:r w:rsidR="002D509E">
        <w:t xml:space="preserve"> </w:t>
      </w:r>
      <w:r>
        <w:br/>
      </w:r>
      <w:r>
        <w:lastRenderedPageBreak/>
        <w:t>Premiowane będą projekty, które mają istotny wkład w realizację jednego z sześciu celów środowiskowych określanych w rozporządzeniu (UE) 2020/852. </w:t>
      </w:r>
      <w:r>
        <w:br/>
        <w:t>Premiowane będą projekty realizujące założenia Nowego Europejskiego Bauhausu. </w:t>
      </w:r>
      <w:r>
        <w:br/>
        <w:t>We wszystkich projektach,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w:t>
      </w:r>
      <w:r>
        <w:br/>
        <w:t>2. Punkty selektywnej zbiórki odpadów komunalnych (PSZOK).</w:t>
      </w:r>
      <w:r w:rsidR="002D509E">
        <w:t xml:space="preserve"> </w:t>
      </w:r>
      <w:r>
        <w:br/>
        <w:t>Interwencja planowana w ramach gospodarki odpadami komunalnymi typ 2 skierowana zostanie w głównej mierze na inwestycje z zakresu systemów selektywnej zbiórki, w tym: punkty selektywnej zbiorki odpadów komunalnych (PSZOK), centra napraw, punkty ponownego użycia, wymianę rzeczy używanych oraz systemy selektywnej zbiórki odpadów gromadzonych u źródła.</w:t>
      </w:r>
      <w:r w:rsidR="002D509E">
        <w:t xml:space="preserve"> </w:t>
      </w:r>
      <w:r>
        <w:br/>
        <w:t>Wsparcie uzyskają projekty związane z budową/rozbudową/modernizacją punktów selektywnego zbierania odpadów komunalnych jako samodzielnego typu inwestycji (przedsięwzięcia).</w:t>
      </w:r>
      <w:r w:rsidR="002D509E">
        <w:t xml:space="preserve"> </w:t>
      </w:r>
      <w:r>
        <w:br/>
      </w:r>
      <w:r>
        <w:br/>
        <w:t>Obligatoryjne warunki wsparcia:</w:t>
      </w:r>
      <w:r w:rsidR="002D509E">
        <w:t xml:space="preserve"> </w:t>
      </w:r>
      <w:r>
        <w:br/>
        <w:t>Wspierane będą wyłącznie PSZOK obsługujące nie więcej niż 20 tys. mieszkańców lub inwestycje o wartości kosztów kwalifikowalnych nie większych niż 2 mln złotych,</w:t>
      </w:r>
      <w:r w:rsidR="002D509E">
        <w:t xml:space="preserve"> </w:t>
      </w:r>
      <w:r>
        <w:br/>
        <w:t>Obligatoryjny element projektów z zakresu gospodarki odpadami komunalnymi stanowi kampania, której przedmiotem będą działania informacyjno–edukacyjne dotyczące sposobów zapobiegania powstawaniu odpadów, a także zasad ich segregacji, które zwiększą świadomość w zakresie zrównoważonej konsumpcji i przyczynią się do zmniejszenia ubóstwa.</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 </w:t>
      </w:r>
      <w:r>
        <w:br/>
        <w:t>Projekt zgodny z zasadą deinstytucjonalizacji.</w:t>
      </w:r>
      <w:r w:rsidR="002D509E">
        <w:t xml:space="preserve"> </w:t>
      </w:r>
      <w:r>
        <w:br/>
      </w:r>
      <w:r>
        <w:br/>
        <w:t>* zgodnie z linią demarkacyjną należy spełnić co najmniej jeden z dwóch pierwszych warunków (20 tys. mieszkańców lub max 2 mln wartości kosztów kwalifikowalnych)</w:t>
      </w:r>
      <w:r w:rsidR="002D509E">
        <w:t xml:space="preserve"> </w:t>
      </w:r>
      <w:r>
        <w:br/>
      </w:r>
      <w:r>
        <w:br/>
        <w:t>Preferowane warunki wsparcia:</w:t>
      </w:r>
      <w:r w:rsidR="002D509E">
        <w:t xml:space="preserve"> </w:t>
      </w:r>
      <w:r>
        <w:br/>
        <w:t>Preferowana będzie realizacja zielonych zamówień publicznych w oparciu o opracowane przez KE wspólne kryteria możliwe do stosowania w państwach członkowskich Unii,</w:t>
      </w:r>
      <w:r w:rsidR="002D509E">
        <w:t xml:space="preserve"> </w:t>
      </w:r>
      <w:r>
        <w:br/>
        <w:t>Przy realizacji inwestycji zalecane jest wykorzystanie dobrych praktyk w zakresie ochrony środowiska, w szczególności standardów ochrony drzew Standardy Ochrony Drzew - Narodowy Fundusz Ochrony Środowiska i Gospodarki Wodnej - Portal Gov.pl (www.gov.pl ),</w:t>
      </w:r>
      <w:r w:rsidR="002D509E">
        <w:t xml:space="preserve"> </w:t>
      </w:r>
      <w:r>
        <w:br/>
        <w:t>Premiowane będą projekty, które mają istotny wkład w realizację jednego z sześciu celów środowiskowych określanych w rozporządzeniu (UE) 2020/852. </w:t>
      </w:r>
      <w:r>
        <w:br/>
        <w:t>Premiowane będą projekty realizujące założenia Nowego Europejskiego Bauhausu. </w:t>
      </w:r>
      <w:r>
        <w:br/>
        <w:t xml:space="preserve">We wszystkich projektach,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w:t>
      </w:r>
      <w:r>
        <w:lastRenderedPageBreak/>
        <w:t>infrastruktura)</w:t>
      </w:r>
      <w:r w:rsidR="002D509E">
        <w:t xml:space="preserve"> </w:t>
      </w:r>
      <w:r>
        <w:br/>
        <w:t>Zalecane są działania przyczyniające się do poprawy sytuacji osób wykluczonych oraz znajdujących się w trudnej sytuacji materialnej, w tym osób starszych, z niepełnosprawnościami, rodziców prowadzących samodzielnie gospodarstwa domowe (w większości kobiet samodzielnie wychowujące dzieci), które są najbardziej narażone na zjawisko ubóstwa. Zapobieganie powstawaniu odpadów, w tym zwłaszcza marnotrawienia niewykorzystanych produktów, będzie możliwe poprzez kierowanie ich do punktów z zakresu systemów selektywnej zbiórki, które będą przedmiotem wsparcia w tym celu: punkty selektywnej zbiorki odpadów komunalnych (PSZOK), centra napraw, punkty ponownego użycia, wymiany rzeczy używanych oraz systemy selektywnej zbiórki odpadów gromadzonych u źródła.</w:t>
      </w:r>
      <w:r w:rsidR="002D509E">
        <w:t xml:space="preserve"> </w:t>
      </w:r>
    </w:p>
    <w:p w14:paraId="02C50C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C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C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C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C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C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Decyzja Komisji (UE) 2025/2630 z dnia 16 grudnia 2025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i uchylająca decyzję 2012/21/UE (C/2025/8820),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14:paraId="02C50C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C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w:t>
      </w:r>
      <w:r>
        <w:lastRenderedPageBreak/>
        <w:t>U. z 2026 r., poz. 916), Rozporządzenie Ministra Funduszy i Polityki Regionalnej z dnia 17 kwietnia 2024 r. w sprawie udzielania pomocy de minimis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0C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C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C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C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C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C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C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C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2C50C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C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C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C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Przedsiębiorstwa, Służby publiczne, Zintegrowane Inwestycje Terytorialne (ZIT)</w:t>
      </w:r>
    </w:p>
    <w:p w14:paraId="02C50C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C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Jednostki organizacyjne działające w imieniu jednostek samorządu terytorialnego, Jednostki Samorządu Terytorialnego, MŚP, Organizacje pozarządowe, Partnerstwa Publiczno-Prywatne, Podmioty świadczące usługi publiczne w ramach realizacji obowiązków własnych jednostek samorządu terytorialnego, Zintegrowane Inwestycje Terytorialne (ZIT)</w:t>
      </w:r>
    </w:p>
    <w:p w14:paraId="02C50C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C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dokumenty_strategiczne, edukacja_ekologiczna, edukacja_recyklingu, gospodarka_odpadami, odpady, odpady_komunalne, ponowne_użycie, punkt_selektywnej_zbiórki_odpadów_komunalnych, recykling, segregacja_odpadów</w:t>
      </w:r>
    </w:p>
    <w:p w14:paraId="02C50C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Wielkość podmiotu (w przypadku przedsiębiorstw)</w:t>
      </w:r>
    </w:p>
    <w:p w14:paraId="02C50C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C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C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C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C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WLWK-RCO034 - Dodatkowe zdolności w zakresie recyklingu odpadów</w:t>
      </w:r>
    </w:p>
    <w:p w14:paraId="02C50C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WLWK-RCO107 - Inwestycje w obiekty do selektywnego zbierania odpadów</w:t>
      </w:r>
    </w:p>
    <w:p w14:paraId="02C50C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WLWK-PLRO064 - Liczba doposażonych zakładów zagospodarowania odpadów</w:t>
      </w:r>
    </w:p>
    <w:p w14:paraId="02C50C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C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C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WLWK-PLRO063 - Liczba przebudowanych zakładów zagospodarowania odpadów</w:t>
      </w:r>
    </w:p>
    <w:p w14:paraId="02C50C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02C50C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C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WLWK-PLRO180 - Liczba utworzonych Punktów Napraw i Ponownego Użycia</w:t>
      </w:r>
    </w:p>
    <w:p w14:paraId="02C50C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WLWK-PLRO179 - Liczba wspartych instalacji w zakresie ograniczania ilości odpadów powstających w procesach produkcyjnych</w:t>
      </w:r>
    </w:p>
    <w:p w14:paraId="02C50C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WLWK-PLRO182 - Liczba wspartych inwestycji w zakresie zagospodarowania odpadów w procesach innych niż recykling</w:t>
      </w:r>
    </w:p>
    <w:p w14:paraId="02C50C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WLWK-PLRO060 - Liczba wspartych punktów selektywnego zbierania odpadów komunalnych (PSZOK)</w:t>
      </w:r>
    </w:p>
    <w:p w14:paraId="02C50C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WLWK-PLRO062 - Liczba wybudowanych zakładów zagospodarowania odpadów</w:t>
      </w:r>
    </w:p>
    <w:p w14:paraId="02C50C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WLWK-PLRO067 - Masa unieszkodliwionych odpadów niebezpiecznych</w:t>
      </w:r>
    </w:p>
    <w:p w14:paraId="02C50C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WLWK-RCO119 - Odpady przygotowane do ponownego użycia</w:t>
      </w:r>
    </w:p>
    <w:p w14:paraId="02C50C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C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WLWK-PLRR019 - Liczba osób objętych selektywnym zbieraniem odpadów komunalnych</w:t>
      </w:r>
    </w:p>
    <w:p w14:paraId="02C50C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WLWK-PLRR067 - Liczba osób objętych systemem zagospodarowania odpadów</w:t>
      </w:r>
    </w:p>
    <w:p w14:paraId="02C50C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C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WLWK-PLRR041 - Masa odpadów zagospodarowana w procesach innych niż recykling</w:t>
      </w:r>
    </w:p>
    <w:p w14:paraId="02C50C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WLWK-PLRR040 - Masa przedmiotów przekazanych do Punktów Napraw i Ponownego Użycia</w:t>
      </w:r>
    </w:p>
    <w:p w14:paraId="02C50C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0C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WLWK-PLRR068 - Moc przerobowa zakładu zagospodarowania odpadów</w:t>
      </w:r>
    </w:p>
    <w:p w14:paraId="02C50C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WLWK-RCR047 - Odpady poddane recyklingowi</w:t>
      </w:r>
    </w:p>
    <w:p w14:paraId="02C50C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WLWK-RCR048 - Odpady wykorzystywane jako surowce</w:t>
      </w:r>
    </w:p>
    <w:p w14:paraId="02C50C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WLWK-RCR103 - Odpady zbierane selektywnie</w:t>
      </w:r>
    </w:p>
    <w:p w14:paraId="02C50C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0C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C5F"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6" w:name="_Toc235079764"/>
      <w:r>
        <w:rPr>
          <w:rFonts w:ascii="Calibri" w:hAnsi="Calibri" w:cs="Calibri"/>
          <w:sz w:val="32"/>
        </w:rPr>
        <w:t>Działanie FESL.02.13 Gospodarka o obiegu zamkniętym (IF)</w:t>
      </w:r>
      <w:bookmarkEnd w:id="26"/>
    </w:p>
    <w:p w14:paraId="02C50C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C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 - Wspieranie transformacji w kierunku gospodarki o obiegu zamkniętym i gospodarki zasobooszczędnej</w:t>
      </w:r>
    </w:p>
    <w:p w14:paraId="02C50C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C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17 647 059,00</w:t>
      </w:r>
    </w:p>
    <w:p w14:paraId="02C50C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C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15 000 000,00</w:t>
      </w:r>
    </w:p>
    <w:p w14:paraId="02C50C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C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075 - Wsparcie ekologicznych procesów produkcyjnych oraz efektywnego wykorzystywania zasobów w MŚP, 076 - Wsparcie ekologicznych procesów produkcyjnych oraz efektywnego wykorzystywania zasobów w dużych przedsiębiorstwach</w:t>
      </w:r>
    </w:p>
    <w:p w14:paraId="02C50C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C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Realizacja działania zakłada powierzenie zadań jednemu Beneficjentowi zgodnie z art. 59, ust 3 rozporządzenia ramowego nr 2021/1060 z dnia 24 czerwca 2021 r., który będzie wdrażał instrument finansowy pełniąc rolę Funduszu Powierniczego. Beneficjent dokona wyboru podmiotów finansowych, które w roli funduszy szczegółowych będą udzielały wsparcia odbiorcom ostatecznym. </w:t>
      </w:r>
      <w:r>
        <w:br/>
        <w:t xml:space="preserve">Ostateczni odbiorcy wsparcia to przedsiębiorstwa (MŚP oraz duże). </w:t>
      </w:r>
      <w:r>
        <w:br/>
        <w:t xml:space="preserve">Wsparcie będzie oferowane na terenie całego województwa śląskiego. </w:t>
      </w:r>
      <w:r>
        <w:br/>
        <w:t>Pożyczka z elementem dotacyjnym będzie oferowana na warunkach korzystniejszych niż rynkowe. Wsparcie dotacyjne musi pozostawać w bezpośrednim związku z instrumentem finansowym. Szczegółowy zakres oraz warunki wsparcia będą doprecyzowane w Strategii Inwestycyjnej oraz w metryce produktu finansowego.</w:t>
      </w:r>
      <w:r>
        <w:br/>
        <w:t xml:space="preserve">Planowane finansowanie ma na celu m.in. zainicjowanie nowych procesów produkcyjnych, technologii, jak i produktów w zakresie GOZ w przedsiębiorstwach. </w:t>
      </w:r>
      <w:r>
        <w:br/>
        <w:t xml:space="preserve">Wspierane będą inwestycje ostatecznych odbiorców, których celem jest przejście na model gospodarki o obiegu zamkniętym, w tym minimalizacja zasobo- i materiałochłonności procesów produkcyjnych i </w:t>
      </w:r>
      <w:r>
        <w:lastRenderedPageBreak/>
        <w:t xml:space="preserve">logistycznych oraz zapobieganie i zmniejszenie powstawania odpadów, a także zmniejszenie śladu środowiskowego produktów na każdym etapie, począwszy od ekoprojektowania, przez cyrkularne modele biznesowe po systemy efektywnego zagospodarowywania odpadów . </w:t>
      </w:r>
      <w:r>
        <w:br/>
        <w:t>W celu minimalizacji przepływu materiałów i energii, zmiany produktów i metod produkcji, przynoszących przewagę konkurencyjną przedsiębiorstwom, wsparciem zostaną objęte również projekty ostatecznych odbiorców polegające na wykorzystaniu ekoinnowacji, jako narzędzia przyczyniającego się do ekologicznego, zielonego wzrostu gospodarczego.</w:t>
      </w:r>
      <w:r>
        <w:br/>
        <w:t>Wsparciem zostaną objęte również działania związane z tworzeniem strategii i planów działań dot. GOZ będące elementem projektu wdrożeniowego. W ramach projektu przewiduje się także możliwość sfinansowania odbiorcom ostatecznym wsparcia doradczego, audytów środowiskowych, analiz LCA i innych dokumentów mających na celu zwiększenie świadomości nt. wpływu działalności przedsiębiorstw na środowisko oraz pokazujące korzyści płynące z inwestycji w GOZ.</w:t>
      </w:r>
      <w:r>
        <w:br/>
        <w:t>Dopuszcza się finansowanie inwestycji polegających na realizacji projektów zgodnie z koncepcją dual-use, umożliwiających wykorzystanie produktów, półproduktów, surowców, technologii do celów ograniczania skutków wystąpienia sytuacji kryzysowych.</w:t>
      </w:r>
      <w:r>
        <w:br/>
        <w:t>W stosownych przypadkach oraz w zależności od zakresu, realizowane inwestycje odbiorców ostatecznych będą łączyć zasady zrównoważonego rozwoju, estetyki i włączenia, zgodnie z ideą inicjatywy Nowy Europejski Bauhaus.</w:t>
      </w:r>
      <w:r>
        <w:br/>
        <w:t>Wsparcie udzielane jest wyłącznie na te elementy inwestycji, które nie są fizycznie ukończone lub w pełni wdrożone w dniu podjęcia decyzji inwestycyjnej.</w:t>
      </w:r>
      <w:r>
        <w:br/>
        <w:t>We wszystkich inwestycjach odbiorców ostatecznych,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w:t>
      </w:r>
      <w:r>
        <w:br/>
        <w:t xml:space="preserve">Obligatoryjne warunki wsparcia: </w:t>
      </w:r>
      <w:r>
        <w:br/>
        <w:t>Inwestycje ostatecznych odbiorców realizowane w ramach działania nie będą miały charakteru badawczo-rozwojowego, dotyczyć będą wdrażania technologii.</w:t>
      </w:r>
      <w:r>
        <w:br/>
        <w:t xml:space="preserve">Elementem obligatoryjnym projektu będą działania informacyjno–promocyjne dotyczące gospodarki o obiegu zamkniętym. </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Projekt jest zgodny z zasadą deinstytucjonalizacji.</w:t>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r>
    </w:p>
    <w:p w14:paraId="02C50C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C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85</w:t>
      </w:r>
    </w:p>
    <w:p w14:paraId="02C50C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C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2C50C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C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C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C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14:paraId="02C50C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C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02C50C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C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Wsparcie poprzez instrumenty finansowe: dotacje w ramach operacji instrumentu finansowego, Wsparcie poprzez instrumenty finansowe: pożyczka</w:t>
      </w:r>
    </w:p>
    <w:p w14:paraId="02C50C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C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C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C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0C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Realizacja instrumentów terytorialnych</w:t>
      </w:r>
    </w:p>
    <w:p w14:paraId="02C50C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C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C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w:t>
      </w:r>
    </w:p>
    <w:p w14:paraId="02C50C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C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w:t>
      </w:r>
    </w:p>
    <w:p w14:paraId="02C50C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C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ekogospodarka, gospodarka_cyrkularna, gospodarka_o_obiegu_zamkniętym, minimalizacja_odpadów, pożyczka_na_rozwój, pożyczki_dla_przedsiębiorstw</w:t>
      </w:r>
    </w:p>
    <w:p w14:paraId="02C50C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C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02C50C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0C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0C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0C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WLWK-RCO003 - Przedsiębiorstwa objęte wsparciem z instrumentów finansowych</w:t>
      </w:r>
    </w:p>
    <w:p w14:paraId="02C50C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C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C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C8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7" w:name="_Toc235079765"/>
      <w:r>
        <w:rPr>
          <w:rFonts w:ascii="Calibri" w:hAnsi="Calibri" w:cs="Calibri"/>
          <w:sz w:val="32"/>
        </w:rPr>
        <w:t>Działanie FESL.02.14 Ochrona przyrody i bioróżnorodność</w:t>
      </w:r>
      <w:bookmarkEnd w:id="27"/>
    </w:p>
    <w:p w14:paraId="02C50C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C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 - Wzmacnianie ochrony i zachowania przyrody, różnorodności biologicznej oraz zielonej infrastruktury, w tym na obszarach miejskich, oraz ograniczanie wszelkich rodzajów zanieczyszczenia</w:t>
      </w:r>
    </w:p>
    <w:p w14:paraId="02C50C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C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61 918 717,00</w:t>
      </w:r>
    </w:p>
    <w:p w14:paraId="02C50C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C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61 918 717,00</w:t>
      </w:r>
    </w:p>
    <w:p w14:paraId="02C50C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C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078 - Ochrona, regeneracja i zrównoważone wykorzystanie obszarów Natura 2000, 079 - Ochrona przyrody i różnorodności biologicznej, dziedzictwo naturalne i zasoby naturalne, zielona i niebieska infrastruktura</w:t>
      </w:r>
    </w:p>
    <w:p w14:paraId="02C50C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lastRenderedPageBreak/>
        <w:t>Opis działania</w:t>
      </w:r>
    </w:p>
    <w:p w14:paraId="02C50C95" w14:textId="730A419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projektu</w:t>
      </w:r>
      <w:r w:rsidR="002D509E">
        <w:t xml:space="preserve"> </w:t>
      </w:r>
      <w:r>
        <w:br/>
      </w:r>
      <w:r w:rsidR="002D509E">
        <w:t xml:space="preserve"> </w:t>
      </w:r>
      <w:r>
        <w:t>1. Ochrona i regeneracja obszarów chronionych wraz z kampanią informacyjno-edukacyjną zwiększającą poziom świadomości ekologicznej.</w:t>
      </w:r>
      <w:r w:rsidR="002D509E">
        <w:t xml:space="preserve"> </w:t>
      </w:r>
      <w:r>
        <w:br/>
      </w:r>
      <w:r w:rsidR="002D509E">
        <w:t xml:space="preserve"> </w:t>
      </w:r>
      <w:r>
        <w:t>2. Ochrona różnorodności biologicznej wraz z kampanią informacyjno-edukacyjną zwiększającą poziom świadomości ekologiczne</w:t>
      </w:r>
      <w:r>
        <w:br/>
        <w:t>1. Ochrona i regeneracja obszarów chronionych wraz z kampanią informacyjno-edukacyjną zwiększającą poziom świadomości ekologicznej.</w:t>
      </w:r>
      <w:r w:rsidR="002D509E">
        <w:t xml:space="preserve"> </w:t>
      </w:r>
      <w:r>
        <w:br/>
        <w:t>W ramach działania przewiduje się zabiegi ochronne in-situ oraz/lub ex-situ zagrożonych gatunków i siedlisk przyrodniczych, m.in..: </w:t>
      </w:r>
      <w:r w:rsidR="002D509E">
        <w:t xml:space="preserve"> </w:t>
      </w:r>
      <w:r>
        <w:br/>
      </w:r>
      <w:r w:rsidR="002D509E">
        <w:t xml:space="preserve"> </w:t>
      </w:r>
      <w:r>
        <w:t>introdukcja/reintrodukcja,  </w:t>
      </w:r>
      <w:r w:rsidR="002D509E">
        <w:t xml:space="preserve"> </w:t>
      </w:r>
      <w:r>
        <w:br/>
      </w:r>
      <w:r w:rsidR="002D509E">
        <w:t xml:space="preserve"> </w:t>
      </w:r>
      <w:r>
        <w:t>przesadzenie/przesiedlenie,   </w:t>
      </w:r>
      <w:r w:rsidR="002D509E">
        <w:t xml:space="preserve"> </w:t>
      </w:r>
      <w:r>
        <w:br/>
      </w:r>
      <w:r w:rsidR="002D509E">
        <w:t xml:space="preserve"> </w:t>
      </w:r>
      <w:r>
        <w:t>wspomaganie rozmnażania na stanowiskach dotychczasowych, </w:t>
      </w:r>
      <w:r w:rsidR="002D509E">
        <w:t xml:space="preserve"> </w:t>
      </w:r>
      <w:r>
        <w:br/>
      </w:r>
      <w:r w:rsidR="002D509E">
        <w:t xml:space="preserve"> </w:t>
      </w:r>
      <w:r>
        <w:t>wyznaczanie i ochrona korytarzy migracyjnych w ramach ochrony,  </w:t>
      </w:r>
      <w:r w:rsidR="002D509E">
        <w:t xml:space="preserve"> </w:t>
      </w:r>
      <w:r>
        <w:br/>
      </w:r>
      <w:r w:rsidR="002D509E">
        <w:t xml:space="preserve"> </w:t>
      </w:r>
      <w:r>
        <w:t>działania mechaniczne/ chemiczne/ biologiczne oraz mieszane, umożliwiające wyeliminowanie, kontrolę lub odizolowanie inwazyjnych gatunków obcych (IGO). </w:t>
      </w:r>
      <w:r w:rsidR="002D509E">
        <w:t xml:space="preserve"> </w:t>
      </w:r>
      <w:r>
        <w:br/>
        <w:t>Objęte wsparciem mogą być wszystkie formy ochrony przyrody, za wyjątkiem parków narodowych. Jako element projektu dopuszcza się finansowanie przedsięwzięć dotyczących opracowania dokumentów planistycznych z uwzględnieniem obszarów chronionych, inwentaryzacji przyrodniczych, a także innych opracowań np. planów zadań ochronnych.</w:t>
      </w:r>
      <w:r>
        <w:br/>
        <w:t>Przedsięwzięcia, które nie przyczyniają się do ochrony, odnowy oraz zrównoważonego użytkowania obszarów chronionych, m.in. parkingi, drogi dojazdowe, nie będą kwalifikowalne. </w:t>
      </w:r>
      <w:r w:rsidR="002D509E">
        <w:t xml:space="preserve"> </w:t>
      </w:r>
      <w:r>
        <w:br/>
        <w:t>W ramach inwestycji związanych z ochroną i zachowaniem różnorodności biologicznej obligatoryjnym elementem projektu będzie kampania informacyjno-edukacyjna zwiększająca poziom świadomości ekologicznej społeczeństwa. </w:t>
      </w:r>
      <w:r w:rsidR="002D509E">
        <w:t xml:space="preserve"> </w:t>
      </w:r>
      <w:r>
        <w:br/>
      </w:r>
      <w:r>
        <w:br/>
        <w:t>2. Ochrona różnorodności biologicznej wraz z kampanią informacyjno-edukacyjną zwiększającą poziom świadomości ekologicznej.</w:t>
      </w:r>
      <w:r w:rsidR="002D509E">
        <w:t xml:space="preserve"> </w:t>
      </w:r>
      <w:r>
        <w:br/>
        <w:t>Wsparcie skierowane będzie na działania mające na celu tworzenie miejsc ochrony różnorodności biologicznej na obszarach miejskich i pozamiejskich priorytetowo w oparciu o gatunki rodzime, m.in.:</w:t>
      </w:r>
      <w:r w:rsidR="002D509E">
        <w:t xml:space="preserve"> </w:t>
      </w:r>
      <w:r>
        <w:br/>
      </w:r>
      <w:r w:rsidR="002D509E">
        <w:t xml:space="preserve"> </w:t>
      </w:r>
      <w:r>
        <w:t>banki genowe,</w:t>
      </w:r>
      <w:r w:rsidR="002D509E">
        <w:t xml:space="preserve"> </w:t>
      </w:r>
      <w:r>
        <w:br/>
      </w:r>
      <w:r w:rsidR="002D509E">
        <w:t xml:space="preserve"> </w:t>
      </w:r>
      <w:r>
        <w:t>rewaloryzacja parków miejskich,</w:t>
      </w:r>
      <w:r w:rsidR="002D509E">
        <w:t xml:space="preserve"> </w:t>
      </w:r>
      <w:r>
        <w:br/>
      </w:r>
      <w:r w:rsidR="002D509E">
        <w:t xml:space="preserve"> </w:t>
      </w:r>
      <w:r>
        <w:t>ogrody botaniczne,</w:t>
      </w:r>
      <w:r w:rsidR="002D509E">
        <w:t xml:space="preserve"> </w:t>
      </w:r>
      <w:r>
        <w:br/>
      </w:r>
      <w:r w:rsidR="002D509E">
        <w:t xml:space="preserve"> </w:t>
      </w:r>
      <w:r>
        <w:t>ekoparki,</w:t>
      </w:r>
      <w:r w:rsidR="002D509E">
        <w:t xml:space="preserve"> </w:t>
      </w:r>
      <w:r>
        <w:br/>
      </w:r>
      <w:r w:rsidR="002D509E">
        <w:t xml:space="preserve"> </w:t>
      </w:r>
      <w:r>
        <w:t>ogrody społeczne,</w:t>
      </w:r>
      <w:r w:rsidR="002D509E">
        <w:t xml:space="preserve"> </w:t>
      </w:r>
      <w:r>
        <w:br/>
      </w:r>
      <w:r w:rsidR="002D509E">
        <w:t xml:space="preserve"> </w:t>
      </w:r>
      <w:r>
        <w:t>ogólnodostępna zieleń miejska.</w:t>
      </w:r>
      <w:r w:rsidR="002D509E">
        <w:t xml:space="preserve"> </w:t>
      </w:r>
      <w:r>
        <w:br/>
        <w:t>Przewiduje się</w:t>
      </w:r>
      <w:r w:rsidR="002D509E">
        <w:t xml:space="preserve"> </w:t>
      </w:r>
      <w:r>
        <w:t>wsparcie na przedsięwzięcia służące rozwojowi zielonej i błękitnej</w:t>
      </w:r>
      <w:r w:rsidR="002D509E">
        <w:t xml:space="preserve"> </w:t>
      </w:r>
      <w:r>
        <w:t>infrastruktury w celu dostarczenia szerokiego wachlarza usług ekosystemowych oraz ochrony różnorodności</w:t>
      </w:r>
      <w:r w:rsidR="002D509E">
        <w:t xml:space="preserve"> </w:t>
      </w:r>
      <w:r>
        <w:t xml:space="preserve">biologicznej na terenach miejskich i pozamiejskich. Elementy tej infrastruktury, odpowiednio zagospodarowane poprawiają mikroklimat, wspomagają zasilanie wód gruntowych, ale przede wszystkim stanowią cenne </w:t>
      </w:r>
      <w:r>
        <w:lastRenderedPageBreak/>
        <w:t>siedliska fauny i flory. Ten element projektu kwalifikowalny jest tylko w przypadku jego uzupełniającego charakteru.</w:t>
      </w:r>
      <w:r w:rsidR="002D509E">
        <w:t xml:space="preserve"> </w:t>
      </w:r>
      <w:r>
        <w:br/>
        <w:t>W ramach inwestycji związanych z ochroną i zachowaniem przyrody i różnorodności biologicznej obligatoryjnym elementem projektu będzie kampania informacyjno-edukacyjna zwiększająca poziom świadomości ekologicznej społeczeństwa.</w:t>
      </w:r>
      <w:r>
        <w:br/>
        <w:t>Obligatoryjne warunki wsparcia</w:t>
      </w:r>
      <w:r w:rsidR="002D509E">
        <w:t xml:space="preserve"> </w:t>
      </w:r>
      <w:r>
        <w:br/>
        <w:t>W przypadku inwestycji polegającej na ochronie in-situ i ex-situ zagrożonych gatunków i siedlisk przyrodniczych na obszarach parków krajobrazowych lub rezerwatów przyrody realizowanych równocześnie na obszarach Natura 2000 pokrywających się z przedmiotowymi terenami parków krajobrazowych lub rezerwatów przyrody, konieczne jest wykazanie, iż brak jest planowanej/realizowanej interwencji z FEnIKS oraz konieczne jest uzyskanie zgody organu nadzorującego ten obszar.</w:t>
      </w:r>
      <w:r w:rsidR="002D509E">
        <w:t xml:space="preserve"> </w:t>
      </w:r>
      <w:r>
        <w:br/>
        <w:t xml:space="preserve">Brak możliwości wsparcia dla działań na obszarach Natura 2000 niepokrywających się z terenami parków krajobrazowych lub rezerwatów przyrody. </w:t>
      </w:r>
      <w:r>
        <w:br/>
        <w:t xml:space="preserve">Działania realizowane na obszarach Natura 2000 pokrywających się z parkiem krajobrazowym lub rezerwatem przyrody ograniczone terytorialnie do jednego województwa. </w:t>
      </w:r>
      <w:r>
        <w:br/>
        <w:t>Brak możliwości wsparcia dla działań realizowanych na obszarze parków narodowych.</w:t>
      </w:r>
      <w:r w:rsidR="002D509E">
        <w:t xml:space="preserve"> </w:t>
      </w:r>
      <w:r>
        <w:br/>
        <w:t>Wsparcie projektów infrastrukturalnych niezwiązanych z bezpośrednią ochroną gatunków i siedlisk, takich jak centra bioróżnorodności i ich wyposażenie, banki genów oraz infrastruktura związana z ukierunkowaniem turystyki, wyniesie maksymalnie 30% kosztów kwalifikowanych projektu.</w:t>
      </w:r>
      <w:r w:rsidR="002D509E">
        <w:t xml:space="preserve"> </w:t>
      </w:r>
      <w:r>
        <w:br/>
        <w:t>Przewiduje się wsparcie dla obszarów strategicznej interwencji o znaczeniu krajowym, wskazanych w Krajowej Strategii Rozwoju Regionalnego stąd pulę środków</w:t>
      </w:r>
      <w:r w:rsidR="002D509E">
        <w:t xml:space="preserve"> </w:t>
      </w:r>
      <w:r>
        <w:t>OSI dedykuje się dla: </w:t>
      </w:r>
      <w:r>
        <w:br/>
      </w:r>
      <w:r w:rsidR="002D509E">
        <w:t xml:space="preserve"> </w:t>
      </w:r>
      <w:r>
        <w:t>miast średnich tracących funkcje społeczno-gospodarcze, tj. Zabrze i Zawiercie;</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 </w:t>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t>Projekt zgodny z zasadą deinstytucjonalizacji.</w:t>
      </w:r>
      <w:r w:rsidR="002D509E">
        <w:t xml:space="preserve"> </w:t>
      </w:r>
      <w:r>
        <w:br/>
      </w:r>
      <w:r>
        <w:br/>
        <w:t>Preferowane warunki wsparcia</w:t>
      </w:r>
      <w:r w:rsidR="002D509E">
        <w:t xml:space="preserve"> </w:t>
      </w:r>
      <w:r>
        <w:br/>
        <w:t>Przy realizacji inwestycji zalecane jest wykorzystanie dobrych praktyk w zakresie ochrony środowiska, w szczególności standardów ochrony drzew [Standardy Ochrony Drzew - Narodowy Fundusz Ochrony Środowiska i Gospodarki Wodnej - Portal Gov.pl (www.gov.pl)].</w:t>
      </w:r>
      <w:r w:rsidR="002D509E">
        <w:t xml:space="preserve"> </w:t>
      </w:r>
      <w:r>
        <w:br/>
        <w:t>Preferowana będzie również realizacja zielonych zamówień publicznych w oparciu o opracowane przez KE wspólne kryteria możliwe do stosowania w państwach członkowskich Unii.</w:t>
      </w:r>
      <w:r w:rsidR="002D509E">
        <w:t xml:space="preserve"> </w:t>
      </w:r>
      <w:r>
        <w:br/>
        <w:t>We wszystkich projektach, w których będzie to zasadne i możliwe będą musiały zostać zastosowane rozwiązania w zakresie obiegu cyrkularnego (w tym efektywności energetycznej i użycia energii ze źródeł odnawialnych) jak również elementy sprzyjające adaptacji do zmian klimatu.</w:t>
      </w:r>
      <w:r w:rsidR="002D509E">
        <w:t xml:space="preserve"> </w:t>
      </w:r>
      <w:r>
        <w:br/>
        <w:t xml:space="preserve">Premiowane będą projekty, które mają istotny wkład w realizację jednego z sześciu celów </w:t>
      </w:r>
      <w:r>
        <w:lastRenderedPageBreak/>
        <w:t>środowiskowych określanych w rozporządzeniu (UE) 2020/852. </w:t>
      </w:r>
      <w:r>
        <w:br/>
        <w:t>Premiowane będą projekty realizujące założenia Nowego Europejskiego Bauhausu. </w:t>
      </w:r>
      <w:r>
        <w:br/>
        <w:t>Możliwe jest wsparcie lub preferencje w obszarze ochrony, regeneracji i zrównoważonego wykorzystania obszarów chronionych dla przedsięwzięć odpowiadających potrzebom lokalnym w uzgodnieniu z Lokalnymi Grupami Działania. Weryfikacja zgodności projektu z celami strategii rozwoju lokalnego kierowanego przez społeczność (LSR) nastąpi na podstawie potwierdzenia wystawionego przez Lokalną Grupę Działania. Wsparcie oferowane będzie dla projektów realizowanych na obszarze ww. strategii realizowanej w ramach umowy o warunkach i sposobie realizacji strategii rozwoju lokalnego kierowanego przez społeczność lokalną zawartej z Zarządem Województwa Śląskiego.</w:t>
      </w:r>
      <w:r w:rsidR="002D509E">
        <w:t xml:space="preserve"> </w:t>
      </w:r>
      <w:r>
        <w:br/>
        <w:t>Premiowane projekty powiązane z utrzymaniem transgranicznych korytarzy ekologicznych. W przedmiotowym obszarze identyfikuje się potencjał współpracy opartej na wymianie doświadczeń, np. w zakresie korytarzy ekologicznych lub wykorzystując wyniki innych programów, np. LIFE+, dążąc do synergii z dorobkiem europejskich i krajowych instrumentów współpracy.</w:t>
      </w:r>
      <w:r w:rsidR="002D509E">
        <w:t xml:space="preserve"> </w:t>
      </w:r>
      <w:r>
        <w:br/>
        <w:t>Premiowane będą projekty realizujące założenia Nowego Europejskiego Bauhausu. </w:t>
      </w:r>
    </w:p>
    <w:p w14:paraId="02C50C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C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C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C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C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C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C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C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0C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C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 7% stawka ryczałtowa na koszty pośrednie (podstawa wyliczenia: koszty bezpośrednie) [art. 54(a) CPR]</w:t>
      </w:r>
    </w:p>
    <w:p w14:paraId="02C50C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C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C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C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C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C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2C50C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C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C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C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Przedsiębiorstwa, Służby publiczne</w:t>
      </w:r>
    </w:p>
    <w:p w14:paraId="02C50C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C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Jednostki rządowe i samorządowe ochrony środowiska, Jednostki Samorządu Terytorialnego, Lasy Państwowe, parki narodowe i krajobrazowe, Lokalne Grupy Działania, MŚP, Organizacje pozarządowe, Partnerstwa instytucji pozarządowych, Partnerstwa Publiczno-Prywatne, Pozarządowe organizacje turystyczne, Wspólnoty, spółdzielnie mieszkaniowe, TBS i SIM</w:t>
      </w:r>
    </w:p>
    <w:p w14:paraId="02C50C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C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bioróżnorodność, edukacja_ekologiczna, ochrona_czynna, ochrona_gatunków, ochrona_siedlisk, ochrona_środowiska, zielona_infrastruktura</w:t>
      </w:r>
    </w:p>
    <w:p w14:paraId="02C50C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C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C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C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C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C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WLWK-PLRO171 - Liczba jednolitych części wód, w których realizacja projektu przyczyniła się do poprawy stanu/potencjału</w:t>
      </w:r>
    </w:p>
    <w:p w14:paraId="02C50C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WLWK-PLRO176 - Liczba nowych/zmodernizowanych stanowisk pomiarowych na potrzeby monitoringu stanu środowiska</w:t>
      </w:r>
    </w:p>
    <w:p w14:paraId="02C50C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C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WLWK-PLRO074 - Liczba opracowanych dokumentów planistycznych z zakresu ochrony przyrody</w:t>
      </w:r>
    </w:p>
    <w:p w14:paraId="02C50C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C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C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WLWK-PLRO071 - Liczba wspartych form ochrony przyrody</w:t>
      </w:r>
    </w:p>
    <w:p w14:paraId="02C50C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WLWK-PLRO144 - Liczba wspartych obiektów w miejscach dziedzictwa naturalnego</w:t>
      </w:r>
    </w:p>
    <w:p w14:paraId="02C50C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WLWK-PLRO069 - Powierzchnia obszarów chronionych i cennych przyrodniczo innych niż Natura 2000 objętych działaniami ochronnymi i odtwarzającymi</w:t>
      </w:r>
    </w:p>
    <w:p w14:paraId="02C50C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WLWK-PLRO072 - Powierzchnia parków krajobrazowych objętych wsparciem w ramach realizacji zadań objętych planami ochrony</w:t>
      </w:r>
    </w:p>
    <w:p w14:paraId="02C50C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WLWK-PLRO070 - Powierzchnia siedlisk wspieranych w celu uzyskania lepszego statusu ochrony</w:t>
      </w:r>
    </w:p>
    <w:p w14:paraId="02C50C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WLWK-RCO038 - Powierzchnia wspieranych zrekultywowanych gruntów</w:t>
      </w:r>
    </w:p>
    <w:p w14:paraId="02C50C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WLWK-PLRO174 - Powierzchnia zrekultywowanych jezior/sztucznych zbiorników</w:t>
      </w:r>
    </w:p>
    <w:p w14:paraId="02C50C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02C50C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WLWK-RCO026 - Zielona infrastruktura wybudowana lub zmodernizowana w celu przystosowania się do zmian klimatu</w:t>
      </w:r>
    </w:p>
    <w:p w14:paraId="02C50C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C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WLWK-PLRR042 - Liczba gatunków zagrożonych, dla których wykonano działania ochronne</w:t>
      </w:r>
    </w:p>
    <w:p w14:paraId="02C50C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WLWK-PLRR044 - Liczba inwazyjnych gatunków obcych, wobec których podjęto działania ograniczające ich negatywny wpływ</w:t>
      </w:r>
    </w:p>
    <w:p w14:paraId="02C50C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C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02C50C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0C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WLWK-PLRR043 - Powierzchnia obszarów chronionych, dla których opracowano dokumenty planistyczne</w:t>
      </w:r>
    </w:p>
    <w:p w14:paraId="02C50C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0C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CC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8" w:name="_Toc235079766"/>
      <w:r>
        <w:rPr>
          <w:rFonts w:ascii="Calibri" w:hAnsi="Calibri" w:cs="Calibri"/>
          <w:sz w:val="32"/>
        </w:rPr>
        <w:t>Działanie FESL.02.15 Ochrona przyrody i bioróżnorodność - ZIT</w:t>
      </w:r>
      <w:bookmarkEnd w:id="28"/>
    </w:p>
    <w:p w14:paraId="02C50C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C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 - Wzmacnianie ochrony i zachowania przyrody, różnorodności biologicznej oraz zielonej infrastruktury, w tym na obszarach miejskich, oraz ograniczanie wszelkich rodzajów zanieczyszczenia</w:t>
      </w:r>
    </w:p>
    <w:p w14:paraId="02C50C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Wysokość alokacji ogółem (EUR)</w:t>
      </w:r>
    </w:p>
    <w:p w14:paraId="02C50C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9 614 354,00</w:t>
      </w:r>
    </w:p>
    <w:p w14:paraId="02C50C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C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9 614 354,00</w:t>
      </w:r>
    </w:p>
    <w:p w14:paraId="02C50C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C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078 - Ochrona, regeneracja i zrównoważone wykorzystanie obszarów Natura 2000, 079 - Ochrona przyrody i różnorodności biologicznej, dziedzictwo naturalne i zasoby naturalne, zielona i niebieska infrastruktura</w:t>
      </w:r>
    </w:p>
    <w:p w14:paraId="02C50C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CD5" w14:textId="6764FE0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Działanie dedykowane Zintegrowany Inwestycjom Terytorialnym. </w:t>
      </w:r>
      <w:r>
        <w:br/>
      </w:r>
      <w:r>
        <w:br/>
        <w:t>Typy projektu</w:t>
      </w:r>
      <w:r w:rsidR="002D509E">
        <w:t xml:space="preserve"> </w:t>
      </w:r>
      <w:r>
        <w:br/>
      </w:r>
      <w:r w:rsidR="002D509E">
        <w:t xml:space="preserve"> </w:t>
      </w:r>
      <w:r>
        <w:t>1. Ochrona i regeneracja obszarów chronionych wraz z kampanią informacyjno-edukacyjną zwiększającą poziom świadomości ekologicznej.</w:t>
      </w:r>
      <w:r w:rsidR="002D509E">
        <w:t xml:space="preserve"> </w:t>
      </w:r>
      <w:r>
        <w:br/>
      </w:r>
      <w:r w:rsidR="002D509E">
        <w:t xml:space="preserve"> </w:t>
      </w:r>
      <w:r>
        <w:t>2. Ochrona różnorodności biologicznej wraz z kampanią informacyjno-edukacyjną zwiększającą poziom świadomości ekologiczne</w:t>
      </w:r>
      <w:r w:rsidR="002D509E">
        <w:t xml:space="preserve"> </w:t>
      </w:r>
      <w:r>
        <w:br/>
      </w:r>
      <w:r>
        <w:br/>
        <w:t>1. Ochrona i regeneracja obszarów chronionych wraz z kampanią informacyjno-edukacyjną zwiększającą poziom świadomości ekologicznej.</w:t>
      </w:r>
      <w:r w:rsidR="002D509E">
        <w:t xml:space="preserve"> </w:t>
      </w:r>
      <w:r>
        <w:br/>
        <w:t>W ramach działania przewiduje się zabiegi ochronne in-situ oraz/lub ex-situ zagrożonych gatunków i siedlisk przyrodniczych, m.in..: </w:t>
      </w:r>
      <w:r w:rsidR="002D509E">
        <w:t xml:space="preserve"> </w:t>
      </w:r>
      <w:r>
        <w:br/>
      </w:r>
      <w:r w:rsidR="002D509E">
        <w:t xml:space="preserve"> </w:t>
      </w:r>
      <w:r>
        <w:t>introdukcja/reintrodukcja,  </w:t>
      </w:r>
      <w:r w:rsidR="002D509E">
        <w:t xml:space="preserve"> </w:t>
      </w:r>
      <w:r>
        <w:br/>
      </w:r>
      <w:r w:rsidR="002D509E">
        <w:t xml:space="preserve"> </w:t>
      </w:r>
      <w:r>
        <w:t>przesadzenie/przesiedlenie,   </w:t>
      </w:r>
      <w:r w:rsidR="002D509E">
        <w:t xml:space="preserve"> </w:t>
      </w:r>
      <w:r>
        <w:br/>
      </w:r>
      <w:r w:rsidR="002D509E">
        <w:t xml:space="preserve"> </w:t>
      </w:r>
      <w:r>
        <w:t>wspomaganie rozmnażania na stanowiskach dotychczasowych, </w:t>
      </w:r>
      <w:r w:rsidR="002D509E">
        <w:t xml:space="preserve"> </w:t>
      </w:r>
      <w:r>
        <w:br/>
      </w:r>
      <w:r w:rsidR="002D509E">
        <w:t xml:space="preserve"> </w:t>
      </w:r>
      <w:r>
        <w:t>wyznaczanie i ochrona korytarzy migracyjnych w ramach ochrony,  </w:t>
      </w:r>
      <w:r w:rsidR="002D509E">
        <w:t xml:space="preserve"> </w:t>
      </w:r>
      <w:r>
        <w:br/>
      </w:r>
      <w:r w:rsidR="002D509E">
        <w:t xml:space="preserve"> </w:t>
      </w:r>
      <w:r>
        <w:t>działania mechaniczne/ chemiczne/ biologiczne oraz mieszane, umożliwiające wyeliminowanie, kontrolę lub odizolowanie inwazyjnych gatunków obcych (IGO). </w:t>
      </w:r>
      <w:r w:rsidR="002D509E">
        <w:t xml:space="preserve"> </w:t>
      </w:r>
      <w:r>
        <w:br/>
        <w:t>Objęte wsparciem mogą być wszystkie formy ochrony przyrody, za wyjątkiem parków narodowych. Jako element projektu dopuszcza się finansowanie przedsięwzięć dotyczących opracowania dokumentów planistycznych z uwzględnieniem obszarów chronionych, inwentaryzacji przyrodniczych, a także innych opracowań np. planów zadań ochronnych.</w:t>
      </w:r>
      <w:r>
        <w:br/>
        <w:t>Przedsięwzięcia, które nie przyczyniają się do ochrony, odnowy oraz zrównoważonego użytkowania obszarów chronionych, m.in. parkingi, drogi dojazdowe, nie będą kwalifikowalne. </w:t>
      </w:r>
      <w:r w:rsidR="002D509E">
        <w:t xml:space="preserve"> </w:t>
      </w:r>
      <w:r>
        <w:br/>
        <w:t>W ramach inwestycji związanych z ochroną i zachowaniem różnorodności biologicznej obligatoryjnym elementem projektu będzie kampania informacyjno-edukacyjna zwiększająca poziom świadomości ekologicznej społeczeństwa. </w:t>
      </w:r>
      <w:r w:rsidR="002D509E">
        <w:t xml:space="preserve"> </w:t>
      </w:r>
      <w:r>
        <w:br/>
      </w:r>
      <w:r>
        <w:br/>
      </w:r>
      <w:r>
        <w:lastRenderedPageBreak/>
        <w:t>2. Ochrona różnorodności biologicznej wraz z kampanią informacyjno-edukacyjną zwiększającą poziom świadomości ekologicznej.</w:t>
      </w:r>
      <w:r w:rsidR="002D509E">
        <w:t xml:space="preserve"> </w:t>
      </w:r>
      <w:r>
        <w:br/>
        <w:t>Wsparcie skierowane będzie na działania mające na celu tworzenie miejsc ochrony różnorodności biologicznej na obszarach miejskich i pozamiejskich priorytetowo w oparciu o gatunki rodzime, m.in.:</w:t>
      </w:r>
      <w:r w:rsidR="002D509E">
        <w:t xml:space="preserve"> </w:t>
      </w:r>
      <w:r>
        <w:br/>
      </w:r>
      <w:r w:rsidR="002D509E">
        <w:t xml:space="preserve"> </w:t>
      </w:r>
      <w:r>
        <w:t>banki genowe,</w:t>
      </w:r>
      <w:r w:rsidR="002D509E">
        <w:t xml:space="preserve"> </w:t>
      </w:r>
      <w:r>
        <w:br/>
      </w:r>
      <w:r w:rsidR="002D509E">
        <w:t xml:space="preserve"> </w:t>
      </w:r>
      <w:r>
        <w:t>rewaloryzacja parków miejskich,</w:t>
      </w:r>
      <w:r w:rsidR="002D509E">
        <w:t xml:space="preserve"> </w:t>
      </w:r>
      <w:r>
        <w:br/>
      </w:r>
      <w:r w:rsidR="002D509E">
        <w:t xml:space="preserve"> </w:t>
      </w:r>
      <w:r>
        <w:t>ogrody botaniczne,</w:t>
      </w:r>
      <w:r w:rsidR="002D509E">
        <w:t xml:space="preserve"> </w:t>
      </w:r>
      <w:r>
        <w:br/>
      </w:r>
      <w:r w:rsidR="002D509E">
        <w:t xml:space="preserve"> </w:t>
      </w:r>
      <w:r>
        <w:t>ekoparki,</w:t>
      </w:r>
      <w:r w:rsidR="002D509E">
        <w:t xml:space="preserve"> </w:t>
      </w:r>
      <w:r>
        <w:br/>
      </w:r>
      <w:r w:rsidR="002D509E">
        <w:t xml:space="preserve"> </w:t>
      </w:r>
      <w:r>
        <w:t>ogrody społeczne,</w:t>
      </w:r>
      <w:r w:rsidR="002D509E">
        <w:t xml:space="preserve"> </w:t>
      </w:r>
      <w:r>
        <w:br/>
      </w:r>
      <w:r w:rsidR="002D509E">
        <w:t xml:space="preserve"> </w:t>
      </w:r>
      <w:r>
        <w:t>ogólnodostępna zieleń miejska.</w:t>
      </w:r>
      <w:r w:rsidR="002D509E">
        <w:t xml:space="preserve"> </w:t>
      </w:r>
      <w:r>
        <w:br/>
        <w:t>Przewiduje się wsparcie na przedsięwzięcia służące rozwojowi zielonej i błękitnej infrastruktury w celu dostarczenia szerokiego wachlarza usług ekosystemowych oraz ochrony różnorodności biologicznej na terenach miejskich i pozamiejskich. Elementy tej infrastruktury, odpowiednio zagospodarowane poprawiają mikroklimat, wspomagają zasilanie wód gruntowych, ale przede wszystkim stanowią cenne siedliska fauny i flory. Ten element projektu kwalifikowalny jest tylko w przypadku jego uzupełniającego charakteru.</w:t>
      </w:r>
      <w:r w:rsidR="002D509E">
        <w:t xml:space="preserve"> </w:t>
      </w:r>
      <w:r>
        <w:br/>
        <w:t>W ramach inwestycji związanych z ochroną i zachowaniem przyrody i różnorodności biologicznej obligatoryjnym elementem projektu będzie kampania informacyjno-edukacyjna zwiększająca poziom świadomości ekologicznej społeczeństwa.</w:t>
      </w:r>
      <w:r>
        <w:br/>
        <w:t>Obligatoryjne warunki wsparcia</w:t>
      </w:r>
      <w:r w:rsidR="002D509E">
        <w:t xml:space="preserve"> </w:t>
      </w:r>
      <w:r>
        <w:br/>
        <w:t>Wsparcie projektów zidentyfikowanych w Strategiach ZIT. </w:t>
      </w:r>
      <w:r>
        <w:br/>
        <w:t>W przypadku inwestycji polegającej na ochronie in-situ i ex-situ zagrożonych gatunków i siedlisk przyrodniczych na obszarach parków krajobrazowych lub rezerwatów przyrody realizowanych równocześnie na obszarach Natura 2000 pokrywających się z przedmiotowymi terenami parków krajobrazowych lub rezerwatów przyrody, konieczne jest wykazanie, iż brak jest planowanej/realizowanej interwencji z FEnIKS oraz konieczne jest uzyskanie zgody organu nadzorującego ten obszar.</w:t>
      </w:r>
      <w:r w:rsidR="002D509E">
        <w:t xml:space="preserve"> </w:t>
      </w:r>
      <w:r>
        <w:br/>
        <w:t xml:space="preserve"> Brak możliwości wsparcia dla działań na obszarach Natura 2000 niepokrywających się z terenami parków krajobrazowych lub rezerwatów przyrody. </w:t>
      </w:r>
      <w:r>
        <w:br/>
        <w:t xml:space="preserve">Działania realizowane na obszarach Natura 2000 pokrywających się z parkiem krajobrazowym lub rezerwatem przyrody ograniczone terytorialnie do jednego województwa. </w:t>
      </w:r>
      <w:r>
        <w:br/>
        <w:t xml:space="preserve"> Brak możliwości wsparcia dla działań realizowanych na obszarze parków narodowych.  </w:t>
      </w:r>
      <w:r w:rsidR="002D509E">
        <w:t xml:space="preserve"> </w:t>
      </w:r>
      <w:r>
        <w:br/>
        <w:t>Wsparcie projektów infrastrukturalnych niezwiązanych z bezpośrednią ochroną gatunków i siedlisk, takich jak centra bioróżnorodności i ich wyposażenie, banki genów oraz infrastruktura związana z ukierunkowaniem turystyki, wyniesie maksymalnie 30% kosztów kwalifikowanych projektu.</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 </w:t>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lastRenderedPageBreak/>
        <w:t>Projekt zgodny z zasadą deinstytucjonalizacji.</w:t>
      </w:r>
      <w:r w:rsidR="002D509E">
        <w:t xml:space="preserve"> </w:t>
      </w:r>
      <w:r>
        <w:br/>
      </w:r>
      <w:r>
        <w:br/>
        <w:t>Preferowane warunki wsparcia</w:t>
      </w:r>
      <w:r w:rsidR="002D509E">
        <w:t xml:space="preserve"> </w:t>
      </w:r>
      <w:r>
        <w:br/>
        <w:t>Przy realizacji inwestycji zalecane jest wykorzystanie dobrych praktyk w zakresie ochrony środowiska, w szczególności standardów ochrony drzew [Standardy Ochrony Drzew - Narodowy Fundusz Ochrony Środowiska i Gospodarki Wodnej - Portal Gov.pl (www.gov.pl)].</w:t>
      </w:r>
      <w:r w:rsidR="002D509E">
        <w:t xml:space="preserve"> </w:t>
      </w:r>
      <w:r>
        <w:br/>
        <w:t>Preferowana będzie również realizacja zielonych zamówień publicznych w oparciu o opracowane przez KE wspólne kryteria możliwe do stosowania w państwach członkowskich Unii.</w:t>
      </w:r>
      <w:r w:rsidR="002D509E">
        <w:t xml:space="preserve"> </w:t>
      </w:r>
      <w:r>
        <w:br/>
        <w:t>We wszystkich projektach, w których będzie to zasadne i możliwe będą musiały zostać zastosowane rozwiązania w zakresie obiegu cyrkularnego (w tym efektywności energetycznej i użycia energii ze źródeł odnawialnych) jak również elementy sprzyjające adaptacji do zmian klimatu.</w:t>
      </w:r>
      <w:r w:rsidR="002D509E">
        <w:t xml:space="preserve"> </w:t>
      </w:r>
      <w:r>
        <w:br/>
        <w:t>Premiowane będą projekty, które mają istotny wkład w realizację jednego z sześciu celów środowiskowych określanych w rozporządzeniu (UE) 2020/852. </w:t>
      </w:r>
      <w:r>
        <w:br/>
        <w:t>Premiowane będą projekty realizujące założenia Nowego Europejskiego Bauhausu. </w:t>
      </w:r>
      <w:r>
        <w:br/>
        <w:t>Możliwe jest wsparcie lub preferencje w obszarze ochrony, regeneracji i zrównoważonego wykorzystania obszarów chronionych dla przedsięwzięć odpowiadających potrzebom lokalnym w uzgodnieniu z Lokalnymi Grupami Działania.</w:t>
      </w:r>
      <w:r w:rsidR="002D509E">
        <w:t xml:space="preserve"> </w:t>
      </w:r>
      <w:r>
        <w:br/>
        <w:t>Premiowane projekty powiązane z utrzymaniem transgranicznych korytarzy ekologicznych. W przedmiotowym obszarze identyfikuje się potencjał współpracy opartej na wymianie doświadczeń, np. w zakresie korytarzy ekologicznych lub wykorzystując wyniki innych programów, np. LIFE+, dążąc do synergii z dorobkiem europejskich i krajowych instrumentów współpracy.</w:t>
      </w:r>
      <w:r w:rsidR="002D509E">
        <w:t xml:space="preserve"> </w:t>
      </w:r>
      <w:r>
        <w:br/>
        <w:t>Premiowane będą projekty realizujące założenia Nowego Europejskiego Bauhausu.</w:t>
      </w:r>
    </w:p>
    <w:p w14:paraId="02C50C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C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C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C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C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C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C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C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minimis w ramach regionalnych programów na lata 2021–2027 (Dz.U. </w:t>
      </w:r>
      <w:r>
        <w:lastRenderedPageBreak/>
        <w:t>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0C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C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C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C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C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C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C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C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C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C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2C50C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C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Przedsiębiorstwa, Służby publiczne, Zintegrowane Inwestycje Terytorialne (ZIT)</w:t>
      </w:r>
    </w:p>
    <w:p w14:paraId="02C50C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C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Jednostki rządowe i samorządowe ochrony środowiska, Jednostki Samorządu Terytorialnego, Lasy Państwowe, parki narodowe i krajobrazowe, Lokalne Grupy Działania, MŚP, Organizacje pozarządowe, Partnerstwa instytucji pozarządowych, Partnerstwa Publiczno-Prywatne, Pozarządowe organizacje turystyczne, Wspólnoty, spółdzielnie mieszkaniowe, TBS i SIM, Zintegrowane Inwestycje Terytorialne (ZIT)</w:t>
      </w:r>
    </w:p>
    <w:p w14:paraId="02C50C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C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bioróżnorodność, edukacja_ekologiczna, ochrona_czynna, ochrona_gatunków, ochrona_siedlisk, ochrona_środowiska, zielona_infrastruktura</w:t>
      </w:r>
    </w:p>
    <w:p w14:paraId="02C50C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C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C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C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C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02C50C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WLWK-PLRO171 - Liczba jednolitych części wód, w których realizacja projektu przyczyniła się do poprawy stanu/potencjału</w:t>
      </w:r>
    </w:p>
    <w:p w14:paraId="02C50C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WLWK-PLRO176 - Liczba nowych/zmodernizowanych stanowisk pomiarowych na potrzeby monitoringu stanu środowiska</w:t>
      </w:r>
    </w:p>
    <w:p w14:paraId="02C50C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C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WLWK-PLRO074 - Liczba opracowanych dokumentów planistycznych z zakresu ochrony przyrody</w:t>
      </w:r>
    </w:p>
    <w:p w14:paraId="02C50C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C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C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WLWK-PLRO071 - Liczba wspartych form ochrony przyrody</w:t>
      </w:r>
    </w:p>
    <w:p w14:paraId="02C50C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WLWK-PLRO144 - Liczba wspartych obiektów w miejscach dziedzictwa naturalnego</w:t>
      </w:r>
    </w:p>
    <w:p w14:paraId="02C50C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0C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WLWK-PLRO069 - Powierzchnia obszarów chronionych i cennych przyrodniczo innych niż Natura 2000 objętych działaniami ochronnymi i odtwarzającymi</w:t>
      </w:r>
    </w:p>
    <w:p w14:paraId="02C50C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WLWK-PLRO072 - Powierzchnia parków krajobrazowych objętych wsparciem w ramach realizacji zadań objętych planami ochrony</w:t>
      </w:r>
    </w:p>
    <w:p w14:paraId="02C50C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WLWK-PLRO070 - Powierzchnia siedlisk wspieranych w celu uzyskania lepszego statusu ochrony</w:t>
      </w:r>
    </w:p>
    <w:p w14:paraId="02C50C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WLWK-RCO038 - Powierzchnia wspieranych zrekultywowanych gruntów</w:t>
      </w:r>
    </w:p>
    <w:p w14:paraId="02C50D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WLWK-PLRO174 - Powierzchnia zrekultywowanych jezior/sztucznych zbiorników</w:t>
      </w:r>
    </w:p>
    <w:p w14:paraId="02C50D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0D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02C50D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WLWK-RCO026 - Zielona infrastruktura wybudowana lub zmodernizowana w celu przystosowania się do zmian klimatu</w:t>
      </w:r>
    </w:p>
    <w:p w14:paraId="02C50D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D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WLWK-PLRR042 - Liczba gatunków zagrożonych, dla których wykonano działania ochronne</w:t>
      </w:r>
    </w:p>
    <w:p w14:paraId="02C50D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WLWK-PLRR044 - Liczba inwazyjnych gatunków obcych, wobec których podjęto działania ograniczające ich negatywny wpływ</w:t>
      </w:r>
    </w:p>
    <w:p w14:paraId="02C50D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D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02C50D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0D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WLWK-PLRR043 - Powierzchnia obszarów chronionych, dla których opracowano dokumenty planistyczne</w:t>
      </w:r>
    </w:p>
    <w:p w14:paraId="02C50D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0D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D0D"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9" w:name="_Toc235079767"/>
      <w:r>
        <w:rPr>
          <w:rFonts w:ascii="Calibri" w:hAnsi="Calibri" w:cs="Calibri"/>
          <w:sz w:val="32"/>
        </w:rPr>
        <w:t>Działanie FESL.02.16 Rekultywacja terenów zdegradowanych</w:t>
      </w:r>
      <w:bookmarkEnd w:id="29"/>
    </w:p>
    <w:p w14:paraId="02C50D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D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 - Wzmacnianie ochrony i zachowania przyrody, różnorodności biologicznej oraz zielonej infrastruktury, w tym na obszarach miejskich, oraz ograniczanie wszelkich rodzajów zanieczyszczenia</w:t>
      </w:r>
    </w:p>
    <w:p w14:paraId="02C50D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D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3 278 860,00</w:t>
      </w:r>
    </w:p>
    <w:p w14:paraId="02C50D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D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2 933 717,00</w:t>
      </w:r>
    </w:p>
    <w:p w14:paraId="02C50D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D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074 - Rewaloryzacja obszarów przemysłowych i rekultywacja skażonych gruntów zgodnie z kryteriami efektywności</w:t>
      </w:r>
    </w:p>
    <w:p w14:paraId="02C50D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D17" w14:textId="378B006B"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rsidR="002D509E">
        <w:t xml:space="preserve"> </w:t>
      </w:r>
      <w:r>
        <w:br/>
      </w:r>
      <w:r w:rsidR="002D509E">
        <w:t xml:space="preserve"> </w:t>
      </w:r>
      <w:r>
        <w:t>1. Rekultywacja terenów zdegradowanych wraz z kampanią informacyjno-edukacyjną zwiększającą świadomość ekologiczną.</w:t>
      </w:r>
      <w:r w:rsidR="002D509E">
        <w:t xml:space="preserve"> </w:t>
      </w:r>
      <w:r>
        <w:br/>
      </w:r>
      <w:r>
        <w:br/>
        <w:t>Wsparciem objęte zostaną inwestycje z zakresu rekultywacji powierzchni ziemi zdegradowanej działalnością człowieka, rozumianej jako przywrócenie wartości użytkowych lub przyrodniczych poprzez usunięcie odpadów, remediację, regenerację i usuwanie gatunków inwazyjnych oraz ponowne kształtowanie na inne cele. Preferowane będą jednak przekształcenia na cele środowiskowe, np.:</w:t>
      </w:r>
      <w:r w:rsidR="002D509E">
        <w:t xml:space="preserve"> </w:t>
      </w:r>
      <w:r>
        <w:br/>
      </w:r>
      <w:r w:rsidR="002D509E">
        <w:t xml:space="preserve"> </w:t>
      </w:r>
      <w:r>
        <w:t>parki i lasy miejskie,</w:t>
      </w:r>
      <w:r w:rsidR="002D509E">
        <w:t xml:space="preserve"> </w:t>
      </w:r>
      <w:r>
        <w:br/>
      </w:r>
      <w:r w:rsidR="002D509E">
        <w:t xml:space="preserve"> </w:t>
      </w:r>
      <w:r>
        <w:t>zieleńce,</w:t>
      </w:r>
      <w:r w:rsidR="002D509E">
        <w:t xml:space="preserve"> </w:t>
      </w:r>
      <w:r>
        <w:br/>
      </w:r>
      <w:r w:rsidR="002D509E">
        <w:t xml:space="preserve"> </w:t>
      </w:r>
      <w:r>
        <w:t>przyrodnicze ścieżki edukacyjne,</w:t>
      </w:r>
      <w:r w:rsidR="002D509E">
        <w:t xml:space="preserve"> </w:t>
      </w:r>
      <w:r>
        <w:br/>
      </w:r>
      <w:r w:rsidR="002D509E">
        <w:t xml:space="preserve"> </w:t>
      </w:r>
      <w:r>
        <w:t>miejskie geoparki, etc.</w:t>
      </w:r>
      <w:r w:rsidR="002D509E">
        <w:t xml:space="preserve"> </w:t>
      </w:r>
      <w:r>
        <w:br/>
        <w:t>W ramach inwestycji związanych z ochroną i zachowaniem przyrody i różnorodności biologicznej obligatoryjnym elementem projektu będzie kampania informacyjno-edukacyjna zwiększająca poziom świadomości ekologicznej społeczeństwa.</w:t>
      </w:r>
      <w:r w:rsidR="002D509E">
        <w:t xml:space="preserve"> </w:t>
      </w:r>
      <w:r>
        <w:br/>
      </w:r>
      <w:r>
        <w:br/>
        <w:t>Obligatoryjne warunki wsparcia</w:t>
      </w:r>
      <w:r w:rsidR="002D509E">
        <w:t xml:space="preserve"> </w:t>
      </w:r>
      <w:r>
        <w:br/>
        <w:t xml:space="preserve">Wsparcie projektów infrastrukturalnych niezwiązanych z bezpośrednią ochroną gatunków i siedlisk, takich jak centra bioróżnorodności, banki genów oraz infrastruktura związana z ukierunkowaniem </w:t>
      </w:r>
      <w:r>
        <w:lastRenderedPageBreak/>
        <w:t>turystyki, wyniesie maksymalnie 30% kosztów kwalifikowanych projektu.</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t>Przewiduje się wsparcie dla obszarów strategicznej interwencji o znaczeniu krajowym, wskazanych w Krajowej Strategii Rozwoju Regionalnego stąd pulę środków OSI dedykuje się dla: miast średnich tracących funkcje społeczno-gospodarcze, tj. Zawiercie;</w:t>
      </w:r>
      <w:r>
        <w:br/>
        <w:t>obszarów zagrożonych trwałą marginalizacją, tj. Koniecpol.</w:t>
      </w:r>
      <w:r>
        <w:br/>
        <w:t>Projekt zgodny z zasadą deinstytucjonalizacji.</w:t>
      </w:r>
      <w:r w:rsidR="002D509E">
        <w:t xml:space="preserve"> </w:t>
      </w:r>
      <w:r>
        <w:br/>
      </w:r>
      <w:r>
        <w:br/>
        <w:t>Preferowane warunki wsparcia</w:t>
      </w:r>
      <w:r w:rsidR="002D509E">
        <w:t xml:space="preserve"> </w:t>
      </w:r>
      <w:r>
        <w:br/>
        <w:t>Preferowane projekty, w których następuje przekształcenie terenów zdegradowanych na cele środowiskowe, m.in. parki i lasy miejskie, zieleńce, itd.</w:t>
      </w:r>
      <w:r w:rsidR="002D509E">
        <w:t xml:space="preserve"> </w:t>
      </w:r>
      <w:r>
        <w:br/>
        <w:t>Preferowane będą projekty, których celem jest publiczne udostępnienie zrekultywowanego terenu.</w:t>
      </w:r>
      <w:r w:rsidR="002D509E">
        <w:t xml:space="preserve"> </w:t>
      </w:r>
      <w:r>
        <w:br/>
        <w:t>Przy realizacji inwestycji zalecane jest wykorzystanie dobrych praktyk w zakresie ochrony środowiska, w szczególności standardów ochrony drzew [Standardy Ochrony Drzew - Narodowy Fundusz Ochrony Środowiska i Gospodarki Wodnej - Portal Gov.pl (www.gov.pl)].</w:t>
      </w:r>
      <w:r w:rsidR="002D509E">
        <w:t xml:space="preserve"> </w:t>
      </w:r>
      <w:r>
        <w:br/>
        <w:t>Premiowane będą projekty, które mają istotny wkład w realizację jednego z sześciu celów środowiskowych określanych w rozporządzeniu (UE) 2020/852. </w:t>
      </w:r>
      <w:r>
        <w:br/>
        <w:t>Premiowane będą projekty realizujące założenia Nowego Europejskiego Bauhausu. </w:t>
      </w:r>
      <w:r>
        <w:br/>
        <w:t>Preferowana będzie również realizacja zielonych zamówień publicznych w oparciu o opracowane przez KE wspólne kryteria możliwe do stosowania w państwach członkowskich Unii.</w:t>
      </w:r>
      <w:r w:rsidR="002D509E">
        <w:t xml:space="preserve"> </w:t>
      </w:r>
      <w:r>
        <w:br/>
        <w:t>We wszystkich projektach, w których będzie to zasadne i możliwe będą musiały zostać zastosowane rozwiązania w zakresie obiegu cyrkularnego (w tym efektywności energetycznej i użycia energii ze źródeł odnawialnych) jak również elementy sprzyjające adaptacji do zmian klimatu.</w:t>
      </w:r>
      <w:r w:rsidR="002D509E">
        <w:t xml:space="preserve"> </w:t>
      </w:r>
      <w:r>
        <w:br/>
        <w:t>Możliwe jest wsparcie lub preferencje w obszarze ochrony, regeneracji i zrównoważonego wykorzystania obszarów chronionych dla przedsięwzięć odpowiadających potrzebom lokalnym w uzgodnieniu z Lokalnymi Grupami Działania.</w:t>
      </w:r>
      <w:r w:rsidR="002D509E">
        <w:t xml:space="preserve"> </w:t>
      </w:r>
      <w:r>
        <w:br/>
        <w:t>Preferowane będą inwestycje realizowane na obszarze subregionu północnego województwa.</w:t>
      </w:r>
      <w:r>
        <w:br/>
        <w:t>Preferowane projekty powiązane z utrzymaniem transgranicznych korytarzy ekologicznych. W przedmiotowym obszarze identyfikuje się potencjał współpracy opartej na wymianie doświadczeń, np. w zakresie rekultywacji terenów powierzchni zdegradowanych lub wykorzystując wyniki innych programów, np. LIFE+, dążąc do synergii z dorobkiem europejskich i krajowych instrumentów współpracy. Dlatego dopuszcza się realizację przedsięwzięć z partnerami mającymi swoją siedzibę poza województwem śląskim. Mając na uwadze, że województwo śląskie objęte jest programami współpracy terytorialnej Interreg, działania międzyregionalne, transgraniczne i transnarodowe, a jednocześnie komplementarne i wzmacniające do podejmowanych w ramach FE SL 2020-2027 w obszarze niniejszego celu szczegółowego, realizowane będą w:</w:t>
      </w:r>
      <w:r w:rsidR="002D509E">
        <w:t xml:space="preserve"> </w:t>
      </w:r>
      <w:r>
        <w:br/>
      </w:r>
      <w:r>
        <w:lastRenderedPageBreak/>
        <w:t>Programie Interreg Polska-Słowacja, w ramach Priorytetu 1 Przyjazne naturze i bezpieczne Pogranicze,</w:t>
      </w:r>
      <w:r w:rsidR="002D509E">
        <w:t xml:space="preserve"> </w:t>
      </w:r>
      <w:r>
        <w:br/>
        <w:t>Interreg Czechy-Polska, w ramach Priorytetu 1 Zintegrowany system ratownictwa i środowisko,</w:t>
      </w:r>
      <w:r w:rsidR="002D509E">
        <w:t xml:space="preserve"> </w:t>
      </w:r>
      <w:r>
        <w:br/>
        <w:t>Interreg Europa Środkowa 2021-2027, poprzez Priorytet 2 Współpraca na rzecz bardziej zielonej Europy Środkowej,</w:t>
      </w:r>
      <w:r w:rsidR="002D509E">
        <w:t xml:space="preserve"> </w:t>
      </w:r>
      <w:r>
        <w:br/>
        <w:t>Interreg Europa 2021-2027.</w:t>
      </w:r>
      <w:r w:rsidR="002D509E">
        <w:t xml:space="preserve"> </w:t>
      </w:r>
    </w:p>
    <w:p w14:paraId="02C50D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D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D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D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0D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D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D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D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0D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D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D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D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D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D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D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D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Konkurencyjny</w:t>
      </w:r>
    </w:p>
    <w:p w14:paraId="02C50D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D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D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D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Przedsiębiorstwa, Przedsiębiorstwa realizujące cele publiczne</w:t>
      </w:r>
    </w:p>
    <w:p w14:paraId="02C50D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D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Jednostki Samorządu Terytorialnego, Lokalne Grupy Działania, MŚP, Organizacje pozarządowe, Partnerstwa instytucji pozarządowych, Partnerstwa Publiczno-Prywatne, Podmioty zarządzające terenami inwestycyjnymi, Pozarządowe organizacje turystyczne, Wspólnoty, spółdzielnie mieszkaniowe, TBS i SIM</w:t>
      </w:r>
    </w:p>
    <w:p w14:paraId="02C50D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D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bioróżnorodność, edukacja_ekologiczna, ochrona_środowiska, rekultywacja, środowisko, tereny_zdegradowane, zielona_infrastruktura</w:t>
      </w:r>
    </w:p>
    <w:p w14:paraId="02C50D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D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D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D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D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D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WLWK-PLRO171 - Liczba jednolitych części wód, w których realizacja projektu przyczyniła się do poprawy stanu/potencjału</w:t>
      </w:r>
    </w:p>
    <w:p w14:paraId="02C50D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D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WLWK-PLRO074 - Liczba opracowanych dokumentów planistycznych z zakresu ochrony przyrody</w:t>
      </w:r>
    </w:p>
    <w:p w14:paraId="02C50D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D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02C50D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D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WLWK-PLRO144 - Liczba wspartych obiektów w miejscach dziedzictwa naturalnego</w:t>
      </w:r>
    </w:p>
    <w:p w14:paraId="02C50D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WLWK-PLRO183 - Liczba wyznaczonych stanowisk/punktów monitoringowych</w:t>
      </w:r>
    </w:p>
    <w:p w14:paraId="02C50D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WLWK-RCO038 - Powierzchnia wspieranych zrekultywowanych gruntów</w:t>
      </w:r>
    </w:p>
    <w:p w14:paraId="02C50D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WLWK-PLRO174 - Powierzchnia zrekultywowanych jezior/sztucznych zbiorników</w:t>
      </w:r>
    </w:p>
    <w:p w14:paraId="02C50D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02C50D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D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WLWK-RCR052 - Grunty zrekultywowane wykorzystywane jako tereny zielone, pod budowę lokali socjalnych lub pod działalność gospodarczą lub inną</w:t>
      </w:r>
    </w:p>
    <w:p w14:paraId="02C50D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WLWK-PLRR042 - Liczba gatunków zagrożonych, dla których wykonano działania ochronne</w:t>
      </w:r>
    </w:p>
    <w:p w14:paraId="02C50D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WLWK-PLRR044 - Liczba inwazyjnych gatunków obcych, wobec których podjęto działania ograniczające ich negatywny wpływ</w:t>
      </w:r>
    </w:p>
    <w:p w14:paraId="02C50D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D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02C50D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0D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0D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D49"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0" w:name="_Toc235079768"/>
      <w:r>
        <w:rPr>
          <w:rFonts w:ascii="Calibri" w:hAnsi="Calibri" w:cs="Calibri"/>
          <w:sz w:val="32"/>
        </w:rPr>
        <w:t>Działanie FESL.02.17 Budowanie świadomości na rzecz klimatu</w:t>
      </w:r>
      <w:bookmarkEnd w:id="30"/>
    </w:p>
    <w:p w14:paraId="02C50D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D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EFRR/FS.CP2.IV - Wspieranie przystosowania się do zmian klimatu i zapobiegania ryzyku związanemu z klęskami żywiołowymi i katastrofami, a także odporności, z uwzględnieniem podejścia ekosystemowego</w:t>
      </w:r>
    </w:p>
    <w:p w14:paraId="02C50D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0D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0D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D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1 700 000,00</w:t>
      </w:r>
    </w:p>
    <w:p w14:paraId="02C50D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D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1 700 000,00</w:t>
      </w:r>
    </w:p>
    <w:p w14:paraId="02C50D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D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046 - Wsparcie dla podmiotów, które świadczą usługi wspierające gospodarkę niskoemisyjną i odporność na zmiany klimatu, w tym działania w zakresie zwiększania świadomości</w:t>
      </w:r>
    </w:p>
    <w:p w14:paraId="02C50D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D55" w14:textId="6E05986B"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 xml:space="preserve">Działanie ma na celu wsparcie w zakresie budowania świadomości w odniesieniu do zmian klimatu, w </w:t>
      </w:r>
      <w:r>
        <w:lastRenderedPageBreak/>
        <w:t xml:space="preserve">tym transformacji energetycznej, poprzez budowanie wiedzy, wymianę doświadczeń oraz promowanie nowoczesnych technologii. Istotne jest przede wszystkim wsparcie inicjatyw związanych z edukacją mieszkańców regionu, zwiększaniem świadomości, lepszym dostępem do wiedzy i danych w zakresie zmian klimatycznych, w tym przyczyn ich występowania, skutków oraz właściwych sposobów postępowania. </w:t>
      </w:r>
      <w:r>
        <w:br/>
      </w:r>
      <w:r>
        <w:br/>
        <w:t>Ze środków działania wspierane będą projekty obejmując następujące działania:</w:t>
      </w:r>
      <w:r>
        <w:br/>
        <w:t>1.</w:t>
      </w:r>
      <w:r>
        <w:tab/>
        <w:t>edukacja klimatyczna.</w:t>
      </w:r>
      <w:r w:rsidR="002D509E">
        <w:t xml:space="preserve"> </w:t>
      </w:r>
      <w:r>
        <w:t>Możliwa jest realizacja samodzielnych projektów edukacyjnych, przy czym projekty będą obejmować swym zasięgiem tylko obszar Województwa Śląskiego.</w:t>
      </w:r>
      <w:r w:rsidR="002D509E">
        <w:t xml:space="preserve"> </w:t>
      </w:r>
      <w:r>
        <w:t>Zachowana zostanie komplementarność wsparcia z działaniami krajowymi;</w:t>
      </w:r>
      <w:r>
        <w:br/>
        <w:t>2.</w:t>
      </w:r>
      <w:r>
        <w:tab/>
        <w:t>kampanie informacyjno-edukacyjne zwiększające poziom świadomości w zakresie przystosowania do zmian klimatu, w tym: spotkania informacyjne, konferencje, seminaria, eventy, kampanie o szerokim zasięgu, wymiana doświadczeń;</w:t>
      </w:r>
      <w:r>
        <w:br/>
        <w:t>3.</w:t>
      </w:r>
      <w:r>
        <w:tab/>
        <w:t>działania promocyjne dotyczące zagadnień związanych z klimatem oraz podnoszeniem świadomości mieszkańców/instytucji w zakresie mitygacji zmian klimatu;</w:t>
      </w:r>
      <w:r>
        <w:br/>
        <w:t>4.</w:t>
      </w:r>
      <w:r>
        <w:tab/>
        <w:t>infrastruktura demonstracyjna, m.in. . Zielono-Niebieska Infrastruktura która oprócz pełnienia swojej funkcji ma mieć charakter informacyjno-edukacyjny w projekcie, np.: zielony dach lub system zbierania deszczówki w szkole połączony z cyklem warsztatów lub konferencji. W przypadku jednostek edukacyjnych, wsparciem mogą zostać objęte wyłącznie podmioty niepubliczne.</w:t>
      </w:r>
      <w:r>
        <w:br/>
      </w:r>
      <w:r>
        <w:br/>
        <w:t xml:space="preserve">W tym obszarze identyfikuje się potencjał dla wsparcia opartego na wymianie doświadczeń, w szczególności ze źródeł międzynarodowych. W ramach tego celu przewiduje się również wspierać samą wymianę doświadczeń, z odpowiednim skutkiem w działaniach edukacyjnych, doradczych, zwiększających dostęp do wiedzy i danych w zakresie zmian klimatycznych i wczesnego zapobiegania ryzyku. </w:t>
      </w:r>
      <w:r>
        <w:br/>
      </w:r>
      <w:r>
        <w:br/>
        <w:t xml:space="preserve">Działanie będzie realizowane z uwzględnieniem zasad horyzontalnych (zgodnie z art. 9 Rozporządzenia Parlamentu Europejskiego i Rady (UE) nr 2021/1060 z dnia 24 czerwca 2021 r.), a obowiązek ich stosowania wynika z Umowy Partnerstwa, programu oraz wytycznych. </w:t>
      </w:r>
      <w:r>
        <w:br/>
      </w:r>
      <w:r>
        <w:br/>
        <w:t xml:space="preserve">Przy realizacji inwestycji zalecane jest wykorzystanie dobrych praktyk w zakresie ochrony środowiska, w szczególności standardów ochrony drzew [Standardy Ochrony Drzew - Narodowy Fundusz Ochrony Środowiska i Gospodarki Wodnej - Portal Gov.pl (www.gov.pl)]. Preferowana będzie realizacja zielonych zamówień publicznych w oparciu o opracowane przez KE wspólne kryteria możliwe do stosowania w państwach członkowskich Unii. 98 </w:t>
      </w:r>
      <w:r>
        <w:br/>
      </w:r>
    </w:p>
    <w:p w14:paraId="02C50D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D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D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0D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D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D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0D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D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17 kwietnia 2024 r. w sprawie udzielania pomocy de minimis w ramach regionalnych programów na lata 2021–2027 (Dz.U. 2024 poz. 598)</w:t>
      </w:r>
    </w:p>
    <w:p w14:paraId="02C50D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D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D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D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D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D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D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0D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0D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D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2C50D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D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D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D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Przedsiębiorstwa realizujące cele publiczne, Służby publiczne</w:t>
      </w:r>
    </w:p>
    <w:p w14:paraId="02C50D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D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Inne podmioty systemu szkolnictwa wyższego i nauki, Instytucje otoczenia biznesu, Izby gospodarcze, Jednostki naukowe, Jednostki organizacyjne działające w imieniu jednostek samorządu terytorialnego, Jednostki rządowe i samorządowe ochrony środowiska, Jednostki Samorządu Terytorialnego, Klastry, </w:t>
      </w:r>
      <w:r>
        <w:lastRenderedPageBreak/>
        <w:t>Konsorcja naukowe, Konsorcja naukowo-przemysłowe, MŚP, Niepubliczne instytucje kultury, Organizacje badawcze, Organizacje pozarządowe, Organizacje zrzeszające pracodawców, Ośrodki innowacji, Ośrodki kształcenia dorosłych, Partnerstwa instytucji pozarządowych, Partnerstwa Publiczno-Prywatne, Partnerzy gospodarczy, Podmioty świadczące usługi publiczne w ramach realizacji obowiązków własnych jednostek samorządu terytorialnego, Przedsiębiorstwa energetyczne, Przedsiębiorstwa gospodarujące odpadami, Samorządy zawodowe, Szkoły i inne placówki systemu oświaty, Uczelnie, Wspólnoty energetyczne, w tym klastry energii i spółdzielnie energetyczne, Związki zawodowe</w:t>
      </w:r>
    </w:p>
    <w:p w14:paraId="02C50D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0D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województwa</w:t>
      </w:r>
    </w:p>
    <w:p w14:paraId="02C50D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D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adaptacja_do_zmian_klimatu, edukacja_klimatyczna, ekosystem, klimat, neutralność_klimatyczna, ochrona_klimatu</w:t>
      </w:r>
    </w:p>
    <w:p w14:paraId="02C50D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D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D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D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D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D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WLWK-RCO027 - Krajowe oraz regionalne i lokalne strategie na rzecz przystosowania się do zmian klimatu</w:t>
      </w:r>
    </w:p>
    <w:p w14:paraId="02C50D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WLWK-PLRO175 - Liczba opracowanych ekspertyz, ocen, analiz, koncepcji, studiów</w:t>
      </w:r>
    </w:p>
    <w:p w14:paraId="02C50D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0D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D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D7C" w14:textId="2B9A752C"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WLWK-PLRR065 - Liczba udzielonych konsultacji w zakresie działań sprzyjających neutralności klimatycznej</w:t>
      </w:r>
      <w:r w:rsidR="002D509E">
        <w:t xml:space="preserve"> </w:t>
      </w:r>
    </w:p>
    <w:p w14:paraId="02C50D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WLWK-PLRR060 - Zasięg działań/ kampanii edukacyjno-informacyjnych </w:t>
      </w:r>
    </w:p>
    <w:p w14:paraId="02C50D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0D7F"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31" w:name="_Toc235079769"/>
      <w:r>
        <w:rPr>
          <w:rFonts w:ascii="Calibri" w:hAnsi="Calibri" w:cs="Calibri"/>
          <w:i w:val="0"/>
          <w:sz w:val="32"/>
        </w:rPr>
        <w:t>Priorytet FESL.03 Fundusze Europejskie dla zrównoważonej mobilności</w:t>
      </w:r>
      <w:bookmarkEnd w:id="31"/>
    </w:p>
    <w:p w14:paraId="02C50D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0D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0D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0D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Europejski Fundusz Rozwoju Regionalnego</w:t>
      </w:r>
    </w:p>
    <w:p w14:paraId="02C50D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0D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14:paraId="02C50D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0D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0D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0D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200 090 000,00</w:t>
      </w:r>
    </w:p>
    <w:p w14:paraId="02C50D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0D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194 530 000,00</w:t>
      </w:r>
    </w:p>
    <w:p w14:paraId="02C50D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0D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D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0D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0D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0D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D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D93"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2" w:name="_Toc235079770"/>
      <w:r>
        <w:rPr>
          <w:rFonts w:ascii="Calibri" w:hAnsi="Calibri" w:cs="Calibri"/>
          <w:sz w:val="32"/>
        </w:rPr>
        <w:t>Działanie FESL.03.01 Zakup taboru autobusowego/ trolejbusowego - ZIT</w:t>
      </w:r>
      <w:bookmarkEnd w:id="32"/>
    </w:p>
    <w:p w14:paraId="02C50D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D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EFRR/FS.CP2.VIII - Wspieranie zrównoważonej multimodalnej mobilności miejskiej jako elementu transformacji w kierunku gospodarki zeroemisyjnej</w:t>
      </w:r>
    </w:p>
    <w:p w14:paraId="02C50D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D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50 941 706,00</w:t>
      </w:r>
    </w:p>
    <w:p w14:paraId="02C50D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D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50 941 706,00</w:t>
      </w:r>
    </w:p>
    <w:p w14:paraId="02C50D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Zakres interwencji</w:t>
      </w:r>
    </w:p>
    <w:p w14:paraId="02C50D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077 - Działania mające na celu poprawę jakości powietrza i ograniczenie hałasu, 082 - Tabor czystego transportu miejskiego</w:t>
      </w:r>
    </w:p>
    <w:p w14:paraId="02C50D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D9D" w14:textId="5B8FCC08"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 zostanie przeznaczone na zakup taboru zeroemisyjnego i niskoemisyjnego, wykorzystywanego w zbiorowym transporcie publicznym (w tym w transporcie subregionalnym).</w:t>
      </w:r>
      <w:r>
        <w:br/>
        <w:t>Inwestycje w bezemisyjne środki transportu (autobusy elektryczne BEV, wodorowe FVC, trolejbusy) będą traktowane priorytetowo.</w:t>
      </w:r>
      <w:r>
        <w:br/>
        <w:t>O dofinansowanie ubiegać się mogą jedynie inwestycje w “ekologicznie czyste pojazdy”, w rozumieniu dyrektywy Parlamentu Europejskiego i Rady 2019/1161 z dnia 20 czerwca 2019 r. zmieniającej dyrektywę 2009/33/WE , przy czym zakup taboru o niezerowej emisji będzie możliwy tylko wtedy, gdy zakup taboru o zerowej emisji nie będzie zasadny z powodów operacyjnych lub technicznych. Do taboru niskoemisyjnego spełniającego wymogi „ekologicznie czystych pojazdów”, zalicza się autobusy</w:t>
      </w:r>
      <w:r w:rsidR="002D509E">
        <w:t xml:space="preserve"> </w:t>
      </w:r>
      <w:r>
        <w:t>napędzane LNG, CNG, LPG lub o napędzie hybrydowym PHEV (plug – in) - w zależności od wielkości pojazdów, zgodnie z zapisami dyrektywy 2019/1161 z dnia 20 czerwca 2019 r. zmieniającej dyrektywę 2009/33/WE. Do kategorii niskoemisyjnego taboru nie zalicza się</w:t>
      </w:r>
      <w:r w:rsidR="002D509E">
        <w:t xml:space="preserve"> </w:t>
      </w:r>
      <w:r>
        <w:t>tzw. miękkich hybryd (mild hybrid - MHEV).</w:t>
      </w:r>
      <w:r>
        <w:br/>
        <w:t xml:space="preserve">Inwestycje związane z zakupem taboru muszą wynikać z SUMP. </w:t>
      </w:r>
      <w:r>
        <w:br/>
        <w:t>Zakupowi taboru autobusowego/ trolejbusowego mogą towarzyszyć:</w:t>
      </w:r>
      <w:r>
        <w:br/>
        <w:t>1.</w:t>
      </w:r>
      <w:r>
        <w:tab/>
        <w:t>Cyfrowe rozwiązania integrujące (zgodnie z koncepcją mobilność jako usługa) w postaci: systemów wspólnego biletu, aplikacji mobilnych, SDIP, a także inteligentnych systemów transportowych, w tym systemów zarządzania ruchem, flotą oraz strefą czystego transportu. Wsparcie będzie udzielane zarówno na niezbędną infrastrukturę, jak i zakup sprzętu i narzędzi informatycznych niezbędnych do tworzenia i wdrażania cyfrowych rozwiązań integrujących.</w:t>
      </w:r>
      <w:r>
        <w:br/>
        <w:t>2.</w:t>
      </w:r>
      <w:r>
        <w:tab/>
        <w:t xml:space="preserve">Stacje do ładowania wraz z niezbędną infrastrukturą do obsługi pojazdów zeroemisyjnych: elektrycznych i wodorowych. </w:t>
      </w:r>
      <w:r>
        <w:br/>
        <w:t>3.</w:t>
      </w:r>
      <w:r>
        <w:tab/>
        <w:t>Budowa/ przebudowa zaplecza technicznego i zakup urządzeń do obsługi taboru</w:t>
      </w:r>
      <w:r w:rsidR="002D509E">
        <w:t xml:space="preserve"> </w:t>
      </w:r>
      <w:r>
        <w:t>zakupionego w ramach projektu (ale tylko w niezbędnym zakresie).</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W ramach projektów dopuszczalne będą wydatki poniesione na podniesienie poziomu cyberbezpieczeństwa, zgodnie ze standardami wyznaczonymi w ramach krajowego systemu cyberbezpieczeństwa, bez powielania funkcji inwestycji prowadzonych z poziomu krajowego.</w:t>
      </w:r>
      <w:r>
        <w:br/>
      </w:r>
      <w:r>
        <w:br/>
        <w:t>1.</w:t>
      </w:r>
      <w:r>
        <w:tab/>
        <w:t xml:space="preserve">Obligatoryjne warunki wsparcia: </w:t>
      </w:r>
      <w:r>
        <w:br/>
        <w:t>A)</w:t>
      </w:r>
      <w:r>
        <w:tab/>
        <w:t>Wynikanie (spójność) z Planów Zrównoważonej Mobilności Miejskiej (SUMP) lub innych dokumentów strategicznych [1]:</w:t>
      </w:r>
      <w:r>
        <w:br/>
        <w:t xml:space="preserve">-Inwestycje na obszarze miasta wojewódzkiego będą musiały wynikać z Planu Zrównoważonej </w:t>
      </w:r>
      <w:r>
        <w:lastRenderedPageBreak/>
        <w:t xml:space="preserve">Mobilności Miejskiej (SUMP) obejmującego MOF, przygotowanego zgodnie z wytycznymi i zatwierdzonego przez właściwy organ stanowiący miasta/ MOF (np. rada miasta, zgromadzenie związku międzygminnego itp.). </w:t>
      </w:r>
      <w:r>
        <w:br/>
        <w:t xml:space="preserve">-W innych miastach powyżej 100 000 mieszkańców oraz w gminach położonych w ich MOF przyznanie dofinansowania projektom będzie uzależnione od przyjęcia: </w:t>
      </w:r>
      <w:r>
        <w:br/>
        <w:t>•</w:t>
      </w:r>
      <w:r>
        <w:tab/>
        <w:t>SUMP lub</w:t>
      </w:r>
      <w:r w:rsidR="002D509E">
        <w:t xml:space="preserve"> </w:t>
      </w:r>
      <w:r>
        <w:br/>
        <w:t>•</w:t>
      </w:r>
      <w:r>
        <w:tab/>
        <w:t>innego dokumentu z zakresu planowania transportu miejskiego oraz zobowiązania, że SUMP zostanie przyjęty nie później niż do 31.12.2025 r.</w:t>
      </w:r>
      <w:r w:rsidR="002D509E">
        <w:t xml:space="preserve"> </w:t>
      </w:r>
      <w:r>
        <w:br/>
        <w:t xml:space="preserve">-W miastach poniżej 100 000 mieszkańców przyznanie dofinansowania projektom będzie uzależnione od przyjęcia odpowiedniego dokumentu z zakresu planowania transportu miejskiego (np. odpowiednio dostosowanej strategii ZIT), przy czym preferowany będzie SUMP. W przypadku wymogu przyjęcia SUMP, wymóg ten będzie uznany za spełniony, jeżeli plan ten: 1. będzie obejmował właściwy funkcjonalny obszar miejski; 2. będzie zgodny z wymogami SUMP określonymi w właściwym Komunikacie KE, dotyczącym SUMP oraz rozporządzeniu UE w sprawie sieci TEN-T; 3. będzie przyjęty przez organ właściwy terytorialnie oraz rzeczowo, w formie zapewniającej praktyczną realizację postanowień SUMP. </w:t>
      </w:r>
      <w:r>
        <w:br/>
        <w:t>B)</w:t>
      </w:r>
      <w:r>
        <w:tab/>
        <w:t>Inwestycje w zrównoważoną mobilność miejską będą musiały być zgodne z właściwymi Programami ochrony powietrza oraz Planami na rzecz zrównoważonej energii i klimatu (SEAP) – jeżeli dane miasto przyjęło takie plany [2].</w:t>
      </w:r>
      <w:r>
        <w:br/>
        <w:t>C)</w:t>
      </w:r>
      <w:r>
        <w:tab/>
        <w:t>Przy projektowaniu i wdrażaniu przedsięwzięć infrastrukturalnych i organizacyjnych z zakresu mobilności będą podejmowane obligatoryjne działania na rzecz wyrównywania szans oraz przeciwdziałania dyskryminacji w dostępie do infrastruktury i usług transportu miejskiego, zgodnie ze standardem: transportowym (w szczególności dla infrastruktury komunikacji publicznej oraz taboru miejskiego), architektonicznym (m.in. odnośnie do stanowisk postojowych, przemieszczania się oraz oznaczeń wewnątrz i na zewnątrz budynków) oraz cyfrowym (odnośnie do sprzętu informatycznego szczególnego przeznaczenia, np. biletomatów).</w:t>
      </w:r>
      <w:r w:rsidR="002D509E">
        <w:t xml:space="preserve"> </w:t>
      </w:r>
      <w:r>
        <w:br/>
        <w:t>D)</w:t>
      </w:r>
      <w:r>
        <w:tab/>
        <w:t xml:space="preserve">Inwestycje będą również uwzględniać kwestie bezpieczeństwa, w szczególności na rzecz niezmotoryzowanych uczestników ruchu (w tym kobiet). </w:t>
      </w:r>
      <w:r>
        <w:br/>
        <w:t>E)</w:t>
      </w:r>
      <w:r>
        <w:tab/>
        <w:t>W celu uniknięcia dyskryminacji pośredniej, jaką jest nierówny dostęp do informacji, której doświadczają osoby państw trzecich (osoby mieszkające w Polsce o innym pochodzeniu), zaplanowane zostaną działania zapewniające powszechnie dostępne, przejrzyste i aktualizowane przez kompetentne instytucje informacje w językach obcych (angielski/ukraiński).</w:t>
      </w:r>
      <w:r>
        <w:br/>
        <w:t>F) Projekty realizowane w ramach działania muszą znajdować się na liście projektów stanowiącej element strategii ZIT zgodnie z wymogami UP.</w:t>
      </w:r>
      <w:r>
        <w:br/>
        <w:t>2. Preferowane warunki wsparcia:</w:t>
      </w:r>
      <w:r>
        <w:br/>
        <w:t>A)</w:t>
      </w:r>
      <w:r>
        <w:tab/>
        <w:t xml:space="preserve">Premiowane będą projekty przewidujące przeprowadzenie kampanii, promujących zrównoważoną mobilność, podnoszących świadomość mieszkańców, pracodawców i władz samorządowych wszystkich szczebli w zakresie propagowania korzystania z niskoemisyjnego transportu zbiorowego i ruchu niezmotoryzowanego. </w:t>
      </w:r>
      <w:r>
        <w:br/>
        <w:t>B)</w:t>
      </w:r>
      <w:r>
        <w:tab/>
        <w:t xml:space="preserve"> Dla osiągnięcia jak najlepszego efektu interwencji premiowane będą projekty zintegrowane, kumulujące jak największą liczbę rozwiązań usprawniający system komunikacji miejskiej, kwalifikujących się do wsparcia w ramach przedmiotowego działania.</w:t>
      </w:r>
      <w:r>
        <w:br/>
        <w:t>C)</w:t>
      </w:r>
      <w:r>
        <w:tab/>
        <w:t xml:space="preserve">Preferowana będzie realizacja zielonych zamówień publicznych w oparciu o opracowane przez KE </w:t>
      </w:r>
      <w:r>
        <w:lastRenderedPageBreak/>
        <w:t>wspólne kryteria możliwe do stosowania w państwach UE.</w:t>
      </w:r>
      <w:r>
        <w:br/>
        <w:t>D)</w:t>
      </w:r>
      <w:r>
        <w:tab/>
        <w:t>Działania związane z wsparciem zrównoważonej mobilności miejskiej będą komplementarne do działań przewidzianych w programach LIFE+, Interreg: Region Morza Bałtyckiego, Europa oraz Europa Środkowa związanych z zieloną, inteligentną mobilnością. Premiowane będą projekty, które wykorzystają dobre praktyki wynikające z projektów realizowanych z ww. programów, szczególnie realizowanych w regionach transgranicznych Czech (Kraj Morawskośląski) i Słowacji (Kraj Żyliński).</w:t>
      </w:r>
      <w:r w:rsidR="002D509E">
        <w:t xml:space="preserve"> </w:t>
      </w:r>
      <w:r>
        <w:br/>
        <w:t>E)</w:t>
      </w:r>
      <w:r>
        <w:tab/>
        <w:t xml:space="preserve">Tam gdzie to zasadne i możliwe, niezbędne jest zastosowane rozwiązań w zakresie obiegu cyrkularnego (w tym efektywności energetycznej i OZE), jak również elementów sprzyjających adaptacji do zmian klimatu (zielona i niebieska infrastruktura). </w:t>
      </w:r>
      <w:r>
        <w:br/>
        <w:t>F) Przy realizacji inwestycji zalecane jest wykorzystanie dobrych praktyk w zakresie ochrony środowiska, w szczególności standardów ochrony drzew.</w:t>
      </w:r>
      <w:r w:rsidR="002D509E">
        <w:t xml:space="preserve"> </w:t>
      </w:r>
      <w:r>
        <w:t>[Standardy Ochrony Drzew - Narodowy Fundusz Ochrony Środowiska i Gospodarki Wodnej: -</w:t>
      </w:r>
      <w:r w:rsidR="002D509E">
        <w:t xml:space="preserve"> </w:t>
      </w:r>
      <w:r>
        <w:t xml:space="preserve">https://www.gov.pl/web/nfosigw/standardy-ochrony-drzew, http://drzewa.org.pl/standardy]. </w:t>
      </w:r>
      <w:r>
        <w:br/>
        <w:t>G)</w:t>
      </w:r>
      <w:r>
        <w:tab/>
        <w:t>Premiowane będą projekty, które mają istotny wkład w realizację jednego z sześciu celów środowiskowych określanych w rozporządzeniu (UE) 2020/852.</w:t>
      </w:r>
      <w:r>
        <w:br/>
        <w:t>H) Premiowane będzie: realizowanie założeń Nowego Europejskiego Bauhausu.</w:t>
      </w:r>
      <w:r>
        <w:br/>
        <w:t>3.</w:t>
      </w:r>
      <w:r>
        <w:tab/>
        <w:t xml:space="preserve">Inne warunki wsparcia: </w:t>
      </w:r>
      <w:r>
        <w:br/>
        <w:t>A)</w:t>
      </w:r>
      <w:r>
        <w:tab/>
        <w:t>Możliwe będzie realizowanie projektów hybrydowych zgodnie z art. 40 ustawy o zasadach realizacji zadań finansowanych ze środków europejskich w perspektywie finansowej 2021-2027.</w:t>
      </w:r>
      <w:r>
        <w:br/>
      </w:r>
      <w:r>
        <w:br/>
        <w:t>[1] Spójność projektu z SUMP lub innymi planami mobilności miejskiej należy rozpatrywać przez brak sprzeczności z postanowieniami obowiązującego na moment ogłoszenia naboru wniosków planu oraz poprzez niepodważanie przez projekt celów tego planu i niekolidowanie projektu z innymi działaniami podejmowanymi na jego podstawie (nie jest natomiast wymagane bezpośrednie wskazanie danej inwestycji w planie).</w:t>
      </w:r>
      <w:r>
        <w:br/>
      </w:r>
      <w:r>
        <w:br/>
        <w:t>[2] Spójność z przedmiotowymi dokumentami należy rozpatrywać przez brak sprzeczności z postanowieniami obowiązującego na moment ogłoszenia naboru wniosków programu i planu oraz poprzez niepodważanie przez projekt celów tych dokumentów i niekolidowanie projektu z innymi działaniami podejmowanymi na ich podstawie (nie jest natomiast wymagane bezpośrednie wskazanie danej inwestycji we wskazanych dokumentach).</w:t>
      </w:r>
      <w:r>
        <w:br/>
      </w:r>
      <w:r>
        <w:br/>
      </w:r>
    </w:p>
    <w:p w14:paraId="02C50D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D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D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D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D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02C50D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D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D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14:paraId="02C50D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D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D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D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D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D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0D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D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D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D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2C50D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D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Przedsiębiorstwa realizujące cele publiczne, Zintegrowane Inwestycje Terytorialne (ZIT)</w:t>
      </w:r>
    </w:p>
    <w:p w14:paraId="02C50D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D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Organizatorzy i operatorzy publicznego transportu zbiorowego, Zintegrowane Inwestycje Terytorialne (ZIT)</w:t>
      </w:r>
    </w:p>
    <w:p w14:paraId="02C50D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D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autobusy, autobusy_elektryczne, czysty_transport, inteligentny_transport, tabor_ekologiczny, tabor_miejski, transport, Zintegrowane_Inwestycje_Terytorialne</w:t>
      </w:r>
    </w:p>
    <w:p w14:paraId="02C50D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D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D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D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D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D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WLWK-RCO059 - Infrastruktura paliw alternatywnych (punkty tankowania/ładowania)</w:t>
      </w:r>
    </w:p>
    <w:p w14:paraId="02C50D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D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D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WLWK-PLRO088 - Liczba zakupionych jednostek taboru autobusowego w publicznym transporcie zbiorowym komunikacji miejskiej i metropolitarnej</w:t>
      </w:r>
    </w:p>
    <w:p w14:paraId="02C50D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WLWK-PLRO089 - Liczba zakupionych jednostek taboru trolejbusowego w publicznym transporcie zbiorowym komunikacji miejskiej i metropolitarnej</w:t>
      </w:r>
    </w:p>
    <w:p w14:paraId="02C50D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0D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02C50D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0D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D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D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WLWK-RCR062 - Roczna liczba użytkowników nowego lub zmodernizowanego transportu publicznego</w:t>
      </w:r>
    </w:p>
    <w:p w14:paraId="02C50D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02C50D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DC8"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3" w:name="_Toc235079771"/>
      <w:r>
        <w:rPr>
          <w:rFonts w:ascii="Calibri" w:hAnsi="Calibri" w:cs="Calibri"/>
          <w:sz w:val="32"/>
        </w:rPr>
        <w:lastRenderedPageBreak/>
        <w:t>Działanie FESL.03.02 Zrównoważona multimodalna mobilność miejska - ZIT</w:t>
      </w:r>
      <w:bookmarkEnd w:id="33"/>
    </w:p>
    <w:p w14:paraId="02C50D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D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EFRR/FS.CP2.VIII - Wspieranie zrównoważonej multimodalnej mobilności miejskiej jako elementu transformacji w kierunku gospodarki zeroemisyjnej</w:t>
      </w:r>
    </w:p>
    <w:p w14:paraId="02C50D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D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101 888 294,00</w:t>
      </w:r>
    </w:p>
    <w:p w14:paraId="02C50D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D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101 888 294,00</w:t>
      </w:r>
    </w:p>
    <w:p w14:paraId="02C50D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D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081 - Infrastruktura czystego transportu miejskiego, 083 - Infrastruktura rowerowa, 084 - Cyfryzacja transportu miejskiego, 085 - Cyfryzacja transportu, gdy ma częściowo na celu redukcję emisji gazów cieplarnianych: transport miejski, 086 - Infrastruktura paliw alternatywnych, 172 - Finansowanie krzyżowe w ramach EFRR (wsparcie dla działań typowych dla EFS+ koniecznych do wdrożenia części operacji objętej EFRR i bezpośrednio z nią związanych)</w:t>
      </w:r>
    </w:p>
    <w:p w14:paraId="02C50D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DD2" w14:textId="2BEB4208"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wyodrębnia się dwa typy projektów:</w:t>
      </w:r>
      <w:r>
        <w:br/>
        <w:t xml:space="preserve">1.Budowę, przebudowę, rozbudowę infrastruktury związanej ze zrównoważoną mobilnością miejską (centra przesiadkowe wraz z infrastrukturą towarzyszącą). </w:t>
      </w:r>
      <w:r>
        <w:br/>
        <w:t>2.Inteligentne systemy transportowe (ITS) dla rozwoju zrównoważonego transportu miejskiego. Typy proj. 1 i 2 można łączyć.</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Projekty realizowane w ramach typu 1. mogą obejmować:</w:t>
      </w:r>
      <w:r>
        <w:br/>
        <w:t>A)Budowę, przebudowę, rozbudowę centrum przesiadkowego, w skład którego wejdą m.in. poczekalnie, przystanki, drobna infrastruktura towarzysząca (ławki, wiaty, zadaszenia, oświetlenie), niezbędne ciągi pieszo-rowerowe, przejścia dla pieszych i rowerów, parkingi</w:t>
      </w:r>
      <w:r w:rsidR="002D509E">
        <w:t xml:space="preserve"> </w:t>
      </w:r>
      <w:r>
        <w:t>bike&amp;ride i park&amp;ride, miejsca obsługi podróżnych.</w:t>
      </w:r>
      <w:r>
        <w:br/>
        <w:t>B)</w:t>
      </w:r>
      <w:r>
        <w:tab/>
        <w:t>SDiP oraz systemy, zapewniające integrację z transportem kolejowym.</w:t>
      </w:r>
      <w:r>
        <w:br/>
        <w:t>C)Cyfrowe rozwiązania integrujące, jak systemy wspólnego biletu, aplikacje mobilne, SIP, a także ITS, w tym systemy zarządzania ruchem, flotą oraz strefą czystego transportu. Wsparcie będzie udzielane zarówno na infrastrukturę, jak i zakup sprzętu i narzędzi informatycznych.</w:t>
      </w:r>
      <w:r>
        <w:br/>
      </w:r>
      <w:r>
        <w:lastRenderedPageBreak/>
        <w:t>D)Inwestycje ograniczające ruch samochodowy w centrach miast, jak:</w:t>
      </w:r>
      <w:r>
        <w:br/>
        <w:t>-wyznaczanie stref wyłączonych z ruchu samochodowego, nadawanie priorytetu dla transportu zbiorowego i alternatywnego,</w:t>
      </w:r>
      <w:r>
        <w:br/>
        <w:t>-tworzenie buspasów,</w:t>
      </w:r>
      <w:r>
        <w:br/>
        <w:t>-tworzenie infrastruktury dla ruchu niezmotoryzowanego,</w:t>
      </w:r>
      <w:r>
        <w:br/>
        <w:t>-elementy związane z usprawnieniem i poprawą bezpieczeństwa ruchu pieszych.</w:t>
      </w:r>
      <w:r>
        <w:br/>
        <w:t>E)Infrastrukturę drogową, która w 100% będzie użytkowana w transporcie publicznym. Nie będzie kwalifikowana infrastruktura wykorzystywana przez pojazdy samochodowe. W ramach centrum przesiadkowego, tylko drogi wykorzystywane w pełni przez pojazdy transportu miejskiego będą kwal. w 100%. Pozostały zakres dróg, np. włączający centrum przesiadkowe do istniejącego układu drogowego, będzie niekwalifikowalny. Przebudowa istniejącego układu ulicznego, wynikającego z budowy buspasów jest kwal. do wsparcia jedynie w zakresie obejmującym buspas. Pozostały zakres przebudowywanej drogi stanowi koszt niekwalifikowalny projektu.</w:t>
      </w:r>
      <w:r>
        <w:br/>
        <w:t>F)Drogi rowerowe, ciągi pieszo-row. pełniące funkcje komunikacyjne, stanowiące spójną całość, łączące z obsługiwanym centrum/węzłem. Możliwe jest wyznaczanie sieci rower. z wykorzystaniem już istniejących odc., spełniających wymagane parametry techn.</w:t>
      </w:r>
      <w:r w:rsidR="002D509E">
        <w:t xml:space="preserve"> </w:t>
      </w:r>
      <w:r>
        <w:t xml:space="preserve">Projekty, które obejmują takie elementy sieci dróg rowerowych mogą być zlokalizowane w różnych częściach gminy (uwzględniając istniejące drogi row., stanowiąc spójną całość). Inwestycje muszą spełniać wymagania techniczne i standardy budowy dróg rowerowych w woj. śląskim. W przypadku infrastruktury rowerowej realizowanej w ramach sieci RTR wymagana jest pozyt. opinia właśc. Departamentu/podmiotu UM WSL odpowiedzialnego za RPR WSL.  </w:t>
      </w:r>
      <w:r>
        <w:br/>
        <w:t>G)Infrastrukturę do tankowania/ładowania pojazdów zasilanych paliwami zeroemisyjnymi (min. elektryczne, wodorowe), ale tylko w przypadku braku możliwości finansowania inwestycji ze źródeł prywatnych oraz przy zapewnieniu niedyskryminacyjnego dostępu dla wszystkich użytkowników (w przypadku infrastruktury przeznaczonej dla użytkowników indywidualnych).</w:t>
      </w:r>
      <w:r>
        <w:br/>
        <w:t>H)Zeroemisyjne formy transportu, jak: systemy roweru miejskiego lub wypożyczania UTO, mikromobilność, pojazdy autonomiczne w transporcie miejskim, innowacyjne formy transportu zbiorowego (inne niż transport autobusowy, trolejbusowy).</w:t>
      </w:r>
      <w:r>
        <w:br/>
      </w:r>
      <w:r>
        <w:br/>
        <w:t>Podstawowym elementem projektu powinna być budowa lub przebudowa zintegrowanych centrów przesiadkowych, w tym dworców autobusowych i kolejowych, wraz z infrastrukturą towarzyszącą związaną z transportem zbiorowym, w tym subregionalnym. Dopuszcza się projekty polegające na rozbudowie istniejących centrów przesiadkowych, dla których nie ma konieczności prowadzenia robót budowlanych w ramach istniejącego centrum przesiadkowego, a głównym celem projektu będzie jego uzupełnienie o brakujące elementy i usprawnienie systemu komunikacji w mieście.</w:t>
      </w:r>
      <w:r>
        <w:br/>
      </w:r>
      <w:r>
        <w:br/>
        <w:t xml:space="preserve">W ramach Typu 2.:ITS dla rozwoju zrównoważonego transportu miejskiego wsparcie będzie przeznaczone na budowę/zakup/wdrożenie systemów, które bezpośrednio i pośrednio przyczyniają się do poprawy funkcjonowania transportu zbiorowego, w tym systemów zarządzania ruchem. Dodatkowo wsparciem mogą być objęte systemy zarządzania flotą oraz strefą czystego transportu a także systemy wspólnego biletu, aplikacje mobilne, SDIP. </w:t>
      </w:r>
      <w:r>
        <w:br/>
        <w:t>Wsparcie będzie udzielane zarówno na infrastrukturę, jak i zakup sprzętu i narzędzi informatycznych.</w:t>
      </w:r>
      <w:r>
        <w:br/>
      </w:r>
      <w:r>
        <w:lastRenderedPageBreak/>
        <w:t>W celu redukcji zatłoczenia w miastach oraz redukcji emisji mogą być stosowane rozwiązania organizacyjne takie jak np.: inteligentne zarządzanie miejscami parkingowymi oraz czujniki monitorujące jakość powietrza.</w:t>
      </w:r>
      <w:r>
        <w:br/>
        <w:t>W ramach projektów dopuszczalne będą wydatki poniesione na podniesienie poziomu cyberbezpieczeństwa, zgodnie ze standardami wyznaczonymi w ramach krajowego systemu cyberbezpieczeństwa, bez powielania funkcji inwestycji prowadzonych z poziomu krajowego.</w:t>
      </w:r>
      <w:r>
        <w:br/>
      </w:r>
      <w:r>
        <w:br/>
        <w:t>1.Obligatoryjne warunki wsparcia:</w:t>
      </w:r>
      <w:r>
        <w:br/>
        <w:t>A) Wynikanie z Planów Zrównoważonej Mobilności Miejskiej (SUMP) lub innych dokumentów strategicznych,</w:t>
      </w:r>
      <w:r>
        <w:br/>
        <w:t>będzie weryfikowane zgodnie z pkt 1 „Obligatoryjne warunki wsparcia”, ppkt A w działaniu FESL.03.01 – Zakup taboru autobusowego/trolejbusowego.</w:t>
      </w:r>
      <w:r>
        <w:br/>
        <w:t>B)Lokalizacja obiektów „park&amp;ride” będzie musiała zapewnić integrację z publicznym transportem zbiorowym. W miastach pow. 50 tys. mieszkańców wsparcie dla tych obiektów będzie możliwe pod warunkiem ich zlokalizowania poza obszarem funkcjonalnego śródmieścia, wyznaczonym w studium uwarunkowań i kierunków zagospodarowania przestrzennego/ Planie zagospodarowania przestrzennego.</w:t>
      </w:r>
      <w:r>
        <w:br/>
        <w:t xml:space="preserve">Liczbę ludności należy określić na podstawie danych z GUS, dostępnych na moment ogłoszenia naboru na stronie Internetowej https://stat.gov.pl/obszary-tematyczne/ludnosc/. Dopuszczona zostanie również możliwość wskazania innego alternatywnego i rzetelnego źródła o danych demograficznych, wskazanych w rejestrze mieszkańców, o którym mowa w ustawie z dnia 24 września 2010 r. o ewidencji ludności (Dz. U. z 2022 r., poz. 1191 z późn. zm.), obowiązującego na moment rozpoczęcia naboru wniosków. </w:t>
      </w:r>
      <w:r>
        <w:br/>
        <w:t>C)Inwestycje będą musiały być zgodne z właściwymi Programami ochrony powietrza oraz Planami na rzecz zrównoważonej energii i klimatu (SEAP) – jeżeli dane miasto przyjęło takie plany.</w:t>
      </w:r>
      <w:r>
        <w:br/>
        <w:t>Weryfikacja warunku odbywać będzie się zgodnie z przypisem nr 2 w dział. FESL.03.01 Zakup taboru autobusowego/ trolejbusowego-ZIT.</w:t>
      </w:r>
      <w:r>
        <w:br/>
        <w:t>D) Przy projektowaniu i wdrażaniu przedsięwzięć infrastrukturalnych i organizacyjnych z zakresu mobilności będą podejmowane obligatoryjne działania na rzecz wyrównywania szans oraz przeciwdziałania dyskryminacji w dostępie do infrastruktury i usług transportu miejskiego, zgodnie ze standardem: transportowym (w szczególności dla infrastruktury komunikacji publicznej oraz taboru miejskiego), architektonicznym (m.in. odnośnie do stanowisk postojowych, przemieszczania się oraz oznaczeń wewnątrz i na zewnątrz budynków) oraz cyfrowym (odnośnie do sprzętu informatycznego szczególnego przeznaczenia, np. biletomatów).</w:t>
      </w:r>
      <w:r>
        <w:br/>
        <w:t>E)Inwestycje będą również uwzględniać kwestie bezpieczeństwa, w szczególności na rzecz niezmotoryzowanych uczestników ruchu (w tym kobiet).</w:t>
      </w:r>
      <w:r>
        <w:br/>
        <w:t>F)W projektach zaplanowane zostaną działania zapewniające powszechnie dostępne, przejrzyste i aktualizowane przez kompetentne instytucje informacje w językach obcych (ang./ukr.).</w:t>
      </w:r>
      <w:r>
        <w:br/>
        <w:t>G) Projekty realizowane w ramach działania muszą znajdować się na liście projektów stanowiącej element strategii ZIT zgodnie z wymogami UP</w:t>
      </w:r>
      <w:r>
        <w:br/>
      </w:r>
      <w:r>
        <w:br/>
        <w:t>2.Preferowane warunki wsparcia:</w:t>
      </w:r>
      <w:r>
        <w:br/>
        <w:t xml:space="preserve">A)Premiowane będą proj. przewidujące przeprowadzenie kampanii promującej zrównoważoną </w:t>
      </w:r>
      <w:r>
        <w:lastRenderedPageBreak/>
        <w:t>mobilność, podnoszącej świadomość w zakresie korzystania z niskoemisyjnego transportu zbiorowego i ruchu niezmotoryzowanego.</w:t>
      </w:r>
      <w:r>
        <w:br/>
        <w:t>B)Premiowane będą projekty zintegrowane, kumulujące jak największą liczbę rozwiązań usprawniających system komunikacji miejskiej, kwalifikujących się do wsparcia w ramach przedmiotowego działania.</w:t>
      </w:r>
      <w:r>
        <w:br/>
        <w:t>C)Preferowana będzie realizacja zielonych zamówień publicznych w oparciu o opracowane przez KE kryteria.</w:t>
      </w:r>
      <w:r>
        <w:br/>
        <w:t>D)Działania związane z wsparciem zrównoważonej mobilności miejskiej będą komplementarne z działaniami prowadzonymi w</w:t>
      </w:r>
      <w:r w:rsidR="002D509E">
        <w:t xml:space="preserve"> </w:t>
      </w:r>
      <w:r>
        <w:t>programach LIFE+, Interreg: Region Morza Bałtyckiego, Europa oraz Europa Środkowa związanymi z mobilnością. Premiowane będą projekty, które wykorzystają dobre praktyki, wynikające z projektów realizowanych z ww. programów, szczególnie realizowanych w regionach transgranicznych Czech (Kraj Morawskośląski) i Słowacji (Kraj Żyliński).</w:t>
      </w:r>
      <w:r>
        <w:br/>
        <w:t xml:space="preserve">E)Tam gdzie to zasadne i możliwe, niezbędne jest zastosowane rozwiązań w zakresie obiegu cyrkularnego (w tym efektywności energetycznej i OZE), jak również elementów sprzyjających adaptacji do zmian klimatu (zielona i niebieska infrastruktura). </w:t>
      </w:r>
      <w:r>
        <w:br/>
        <w:t>F)Przy realizacji inwestycji zalecane jest wykorzystanie dobrych praktyk w zakresie ochrony środowiska, w szczególności standardów ochrony drzew.</w:t>
      </w:r>
      <w:r w:rsidR="002D509E">
        <w:t xml:space="preserve"> </w:t>
      </w:r>
      <w:r>
        <w:t>[Standardy Ochrony Drzew - Narodowy Fundusz Ochrony Środowiska i Gospodarki Wodnej: -</w:t>
      </w:r>
      <w:r w:rsidR="002D509E">
        <w:t xml:space="preserve"> </w:t>
      </w:r>
      <w:r>
        <w:t>https://www.gov.pl/web/nfosigw/standardy-ochrony-drzew, http://drzewa.org.pl/standardy].</w:t>
      </w:r>
      <w:r>
        <w:br/>
        <w:t>G)Premiowane będą proj., które mają istotny wkład w realizację jednego z sześciu celów środowiskowych określanych w rozporządzeniu (UE) 2020/852.</w:t>
      </w:r>
      <w:r>
        <w:br/>
        <w:t>H)Realizowanie założeń Nowego Europejskiego Bauhausu.</w:t>
      </w:r>
      <w:r>
        <w:br/>
      </w:r>
      <w:r>
        <w:br/>
        <w:t>3.Inne warunki wsparcia:</w:t>
      </w:r>
      <w:r>
        <w:br/>
        <w:t>A)Możliwe będzie realizowanie projektów hybrydowych zgodnie z art. 40 ust. o zasadach realizacji zadań finansowanych ze środków europejskich w perspektywie finansowej 2021-2027.</w:t>
      </w:r>
      <w:r>
        <w:br/>
      </w:r>
    </w:p>
    <w:p w14:paraId="02C50D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D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D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D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D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D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w:t>
      </w:r>
      <w:r>
        <w:lastRenderedPageBreak/>
        <w:t>Rozporządzenie Komisji (UE) nr 651/2014 z dnia 17 czerwca 2014 r. uznające niektóre rodzaje pomocy za zgodne z rynkiem wewnętrznym w zastosowaniu art. 107 i 108 Traktatu (Dz. Urz. UE L 187 z 26.06.2014, str. 1, z późn. zm.)</w:t>
      </w:r>
    </w:p>
    <w:p w14:paraId="02C50D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D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14:paraId="02C50D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D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D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D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D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D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0D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D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D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D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2C50D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D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Zintegrowane Inwestycje Terytorialne (ZIT)</w:t>
      </w:r>
    </w:p>
    <w:p w14:paraId="02C50D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D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Zintegrowane Inwestycje Terytorialne (ZIT)</w:t>
      </w:r>
    </w:p>
    <w:p w14:paraId="02C50D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Słowa kluczowe</w:t>
      </w:r>
    </w:p>
    <w:p w14:paraId="02C50D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bike_and_ride, C-ITS, czysty_transport, park_and_ride, rowery_miejskie, ścieżki_rowerowe, systemy_biletowe, transport, Zintegrowane_Inwestycje_Terytorialne</w:t>
      </w:r>
    </w:p>
    <w:p w14:paraId="02C50D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D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D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D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WLWK-RCO059 - Infrastruktura paliw alternatywnych (punkty tankowania/ładowania)</w:t>
      </w:r>
    </w:p>
    <w:p w14:paraId="02C50D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WLWK-PLRO094 - Liczba miejsc postojowych dla osób z niepełnosprawnościami w wybudowanych, przebudowanych lub doposażonych obiektach „parkuj i jedź”</w:t>
      </w:r>
    </w:p>
    <w:p w14:paraId="02C50D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D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D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WLWK-PLRO099 - Liczba przebudowanych i rozbudowanych zintegrowanych węzłów przesiadkowych</w:t>
      </w:r>
    </w:p>
    <w:p w14:paraId="02C50D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WLWK-PLRO092 - Liczba przebudowanych obiektów „parkuj i jedź"</w:t>
      </w:r>
    </w:p>
    <w:p w14:paraId="02C50D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WLWK-PLRO096 - Liczba stanowisk postojowych w wybudowanych obiektach „Bike&amp;Ride”</w:t>
      </w:r>
    </w:p>
    <w:p w14:paraId="02C50D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WLWK-PLRO184 - Liczba wspartych publicznych systemów wypożyczania rowerów</w:t>
      </w:r>
    </w:p>
    <w:p w14:paraId="02C50D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WLWK-PLRO095 - Liczba wybudowanych obiektów „Bike&amp;Ride”</w:t>
      </w:r>
    </w:p>
    <w:p w14:paraId="02C50D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WLWK-PLRO091 - Liczba wybudowanych obiektów „parkuj i jedź"</w:t>
      </w:r>
    </w:p>
    <w:p w14:paraId="02C50D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WLWK-PLRO098 - Liczba wybudowanych zintegrowanych węzłów przesiadkowych</w:t>
      </w:r>
    </w:p>
    <w:p w14:paraId="02C50D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0D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WLWK-RCO060 - Miasta z nowymi lub zmodernizowanymi cyfrowymi systemami transportu miejskiego</w:t>
      </w:r>
    </w:p>
    <w:p w14:paraId="02C50D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02C50D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0D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D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WLWK-PLRR047 - Liczba ludności korzystającej z nowych lub zmodernizowanych cyfrowych systemów transportu miejskiego</w:t>
      </w:r>
    </w:p>
    <w:p w14:paraId="02C50D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E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WLWK-RCR064 - Roczna liczba użytkowników infrastruktury rowerowej</w:t>
      </w:r>
    </w:p>
    <w:p w14:paraId="02C50E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WLWK-RCR062 - Roczna liczba użytkowników nowego lub zmodernizowanego transportu publicznego</w:t>
      </w:r>
    </w:p>
    <w:p w14:paraId="02C50E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E03"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4" w:name="_Toc235079772"/>
      <w:r>
        <w:rPr>
          <w:rFonts w:ascii="Calibri" w:hAnsi="Calibri" w:cs="Calibri"/>
          <w:sz w:val="32"/>
        </w:rPr>
        <w:lastRenderedPageBreak/>
        <w:t>Działanie FESL.03.03 Regionalne Trasy Rowerowe - ZIT</w:t>
      </w:r>
      <w:bookmarkEnd w:id="34"/>
    </w:p>
    <w:p w14:paraId="02C50E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E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EFRR/FS.CP2.VIII - Wspieranie zrównoważonej multimodalnej mobilności miejskiej jako elementu transformacji w kierunku gospodarki zeroemisyjnej</w:t>
      </w:r>
    </w:p>
    <w:p w14:paraId="02C50E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E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47 260 000,00</w:t>
      </w:r>
    </w:p>
    <w:p w14:paraId="02C50E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E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41 700 000,00</w:t>
      </w:r>
    </w:p>
    <w:p w14:paraId="02C50E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E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083 - Infrastruktura rowerowa</w:t>
      </w:r>
    </w:p>
    <w:p w14:paraId="02C50E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E0D" w14:textId="74428A96"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 zostanie przeznaczone na budowę/ przebudowę sieci regionalnych tras rowerowych. Inwestycje muszą być realizowane zgodnie z Regionalną Polityką Rowerową Województwa Śląskiego wraz z planem sieci regionalnych tras rowerowych realizowanym według wytycznych i standardów, określonych w przedmiotowym dokumencie (dalej RPR).</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W ramach projektów dopuszczalne będą wydatki poniesione na podniesienie poziomu cyberbezpieczeństwa, zgodnie ze standardami wyznaczonymi w ramach krajowego systemu cyberbezpieczeństwa, bez powielania funkcji inwestycji prowadzonych z poziomu krajowego</w:t>
      </w:r>
      <w:r>
        <w:br/>
      </w:r>
      <w:r>
        <w:br/>
        <w:t>1.</w:t>
      </w:r>
      <w:r>
        <w:tab/>
        <w:t xml:space="preserve">Obligatoryjne warunki wsparcia: </w:t>
      </w:r>
      <w:r>
        <w:br/>
        <w:t>A) Regionalna Trasa Rowerowa łączy się lub oddziałuje co najmniej na dwie JST. Trasa rowerowa fizycznie może być realizowana na terenie jednej JST, ale oddziałuje na sąsiadującą JST, poprzez bezpośrednie połączenie z już istniejącym odcinkiem Regionalnej Trasy Rowerowej, odcinkiem zaplanowanym w strategii ZIT/ strategii ponadlokalnej pełniącej funkcję strategii ZIT lub jest realizowana w partnerstwie.</w:t>
      </w:r>
      <w:r>
        <w:br/>
        <w:t xml:space="preserve">B) Do wsparcia kwalifikują się projekty obejmujące minimum 3 km ciągłej trasy rowerowej (zgodnej z wymogami określonymi w dok. Regionalnej Polityki Rowerowej Województwa Śląskiego). Do wyznaczenia minimalnej długości trasy rowerowej (3 km), wlicza się również już istniejące i wyznaczone ciągi rowerowe (spełniające parametry RTR, w tym wyznaczone poprzez oznakowanie przebiegu trasy rowerowej). </w:t>
      </w:r>
      <w:r>
        <w:br/>
        <w:t xml:space="preserve">C) Trasa rowerowa objęta zakresem projektu musi być zgodna z standardami i wytycznymi dla Rozwoju Mobilności Rowerowej, określonymi w Regionalnej Polityce Rowerowej Województwa Śląskiego. </w:t>
      </w:r>
      <w:r>
        <w:br/>
      </w:r>
      <w:r>
        <w:lastRenderedPageBreak/>
        <w:t>D) Potwierdzeniem zgodności projektu z założeniami określonymi w dokumencie pn.: Regionalna polityka rowerowa Województwa Śląskiego wraz z planem sieci regionalnych tras rowerowych - będzie pozytywna opinia właściwego Departamentu/ podmiotu Urzędu Marszałkowskiego Województwa Śląskiego odpowiedzialnego za Regionalną Politykę Rowerową Województwa Śląskiego, którą Wnioskodawca zobowiązany będzie dołączyć do wniosku o dofinansowanie.</w:t>
      </w:r>
      <w:r w:rsidR="002D509E">
        <w:t xml:space="preserve"> </w:t>
      </w:r>
      <w:r>
        <w:br/>
        <w:t>E) Wynikanie (spójność) z Planów Zrównoważonej Mobilności Miejskiej (SUMP) lub innych dokumentów strategicznych [1]:</w:t>
      </w:r>
      <w:r>
        <w:br/>
        <w:t xml:space="preserve">-Inwestycje na obszarze miasta wojewódzkiego będą musiały wynikać z Planu Zrównoważonej Mobilności Miejskiej (SUMP) obejmującego MOF, przygotowanego zgodnie z wytycznymi i zatwierdzonego przez właściwy organ stanowiący miasta/ MOF (np. rada miasta, zgromadzenie związku międzygminnego itp.). </w:t>
      </w:r>
      <w:r>
        <w:br/>
        <w:t xml:space="preserve">-W innych miastach powyżej 100 000 mieszkańców oraz w gminach położonych w ich MOF przyznanie dofinansowania projektom będzie uzależnione od przyjęcia: </w:t>
      </w:r>
      <w:r>
        <w:br/>
        <w:t>•</w:t>
      </w:r>
      <w:r>
        <w:tab/>
        <w:t>SUMP lub</w:t>
      </w:r>
      <w:r w:rsidR="002D509E">
        <w:t xml:space="preserve"> </w:t>
      </w:r>
      <w:r>
        <w:br/>
        <w:t>•</w:t>
      </w:r>
      <w:r>
        <w:tab/>
        <w:t>innego dokumentu z zakresu planowania transportu miejskiego oraz zobowiązania, że SUMP zostanie przyjęty nie później niż do 31.12.2025 r.</w:t>
      </w:r>
      <w:r w:rsidR="002D509E">
        <w:t xml:space="preserve"> </w:t>
      </w:r>
      <w:r>
        <w:br/>
        <w:t>-W miastach poniżej 100 000 mieszkańców przyznanie dofinansowania projektom będzie uzależnione od przyjęcia odpowiedniego dokumentu z zakresu planowania transportu miejskiego (np. odpowiednio dostosowanej strategii ZIT), przy czym preferowany będzie SUMP. W przypadku wymogu przyjęcia SUMP, wymóg ten będzie uznany za spełniony, jeżeli plan ten: 1. będzie obejmował właściwy funkcjonalny obszar miejski; 2. będzie zgodny z wymogami SUMP określonymi w właściwym Komunikacie KE, dotyczącym SUMP oraz rozporządzeniu UE w sprawie sieci TEN-T; 3. będzie przyjęty przez organ właściwy terytorialnie oraz rzeczowo, w formie zapewniającej praktyczną realizację postanowień SUMP.</w:t>
      </w:r>
      <w:r>
        <w:br/>
        <w:t>F) Inwestycje w zrównoważoną mobilność miejską będą musiały być zgodne z właściwymi Programami ochrony powietrza oraz Planami na rzecz zrównoważonej energii i klimatu (SEAP/ SECAP) – jeżeli dane miasto przyjęło takie plany [2].</w:t>
      </w:r>
      <w:r>
        <w:br/>
        <w:t>G) Przy projektowaniu i wdrażaniu przedsięwzięć infrastrukturalnych i organizacyjnych z zakresu mobilności będą podejmowane obligatoryjne działania na rzecz wyrównywania szans oraz przeciwdziałania dyskryminacji w dostępie do infrastruktury i usług transportu miejskiego, zgodnie ze standardem: transportowym (w szczególności dla infrastruktury komunikacji publicznej oraz taboru miejskiego), architektonicznym (m.in. odnośnie do stanowisk postojowych, przemieszczania się oraz oznaczeń wewnątrz i na zewnątrz budynków) oraz cyfrowym (odnośnie do sprzętu informatycznego szczególnego przeznaczenia, np. biletomatów).</w:t>
      </w:r>
      <w:r w:rsidR="002D509E">
        <w:t xml:space="preserve"> </w:t>
      </w:r>
      <w:r>
        <w:br/>
        <w:t xml:space="preserve">H) Inwestycje będą również uwzględniać kwestie bezpieczeństwa, w szczególności na rzecz niezmotoryzowanych uczestników ruchu (w tym kobiet). </w:t>
      </w:r>
      <w:r>
        <w:br/>
        <w:t>I)W celu uniknięcia dyskryminacji pośredniej, jaką jest nierówny dostęp do informacji, której doświadczają osoby państw trzecich (osoby mieszkające w Polsce o innym pochodzeniu), zaplanowane zostaną działania zapewniające powszechnie dostępne, przejrzyste i aktualizowane przez kompetentne instytucje informacje w językach obcych (angielski/ukraiński), np. tablice informacyjne, regulamin korzystania z Miejsca Odpoczynku Rowerzysty (nie dotyczy działań informacyjno-promocyjnych wynikających z art. 50 rozporządzenia 2021/1060 Parlamentu Europejskiego i Rady (UE).</w:t>
      </w:r>
      <w:r>
        <w:br/>
        <w:t xml:space="preserve">W przypadku braku możliwości i zasadności zastosowania w projekcie informacji w językach obcych, </w:t>
      </w:r>
      <w:r>
        <w:lastRenderedPageBreak/>
        <w:t>zakres przedstawionych w tej sprawie uzasadnień podlega ocenie.</w:t>
      </w:r>
      <w:r>
        <w:br/>
        <w:t>J) Projekty realizowane w ramach działania muszą znajdować się na liście projektów stanowiącej element strategii ZIT zgodnie z wymogami UP.</w:t>
      </w:r>
      <w:r>
        <w:br/>
      </w:r>
      <w:r>
        <w:br/>
        <w:t>2. Preferowane warunki wsparcia:</w:t>
      </w:r>
      <w:r>
        <w:br/>
        <w:t>A) Preferowana będzie realizacja zielonych zamówień publicznych w oparciu o opracowane przez KE wspólne kryteria możliwe do stosowania w państwach UE.</w:t>
      </w:r>
      <w:r>
        <w:br/>
        <w:t xml:space="preserve">B) Działania związane z wsparciem zrównoważonej mobilności miejskiej będą komplementarne do działań przewidzianych w programach LIFE+, Interreg: Region Morza Bałtyckiego, Europa oraz Europa Środkowa związanych z zieloną, inteligentną mobilnością. Premiowane będą projekty, które wykorzystają dobre praktyki wynikające z projektów realizowanych z ww. programów, szczególnie realizowanych w regionach transgranicznych Czech (Kraj Morawskośląski) i Słowacji (Kraj Żyliński). </w:t>
      </w:r>
      <w:r>
        <w:br/>
        <w:t xml:space="preserve">C) W projektach, których będzie to zasadne i możliwe zostaną zastosowane rozwiązania w zakresie obiegu cyrkularnego (w tym efektywności energetycznej i użycia energii z OZE), jak również elementy sprzyjające adaptacji do zmian klimatu (w szczególności zielona i niebieska infrastruktura). </w:t>
      </w:r>
      <w:r>
        <w:br/>
        <w:t>D) Przy realizacji inwestycji zalecane jest wykorzystanie dobrych praktyk w zakresie ochrony środowiska, w szczególności standardów ochrony drzew.</w:t>
      </w:r>
      <w:r w:rsidR="002D509E">
        <w:t xml:space="preserve"> </w:t>
      </w:r>
      <w:r>
        <w:t>[Standardy Ochrony Drzew - Narodowy Fundusz Ochrony Środowiska i Gospodarki Wodnej -</w:t>
      </w:r>
      <w:r w:rsidR="002D509E">
        <w:t xml:space="preserve"> </w:t>
      </w:r>
      <w:r>
        <w:t>https://www.gov.pl/web/nfosigw/standardy-ochrony-drzew, http://drzewa.org.pl/standardy].</w:t>
      </w:r>
      <w:r>
        <w:br/>
        <w:t>E) Premiowane będą projekty, które mają istotny wkład w realizację jednego z sześciu celów środowiskowych określanych w rozporządzeniu (UE) 2020/852.</w:t>
      </w:r>
      <w:r>
        <w:br/>
      </w:r>
      <w:r>
        <w:br/>
        <w:t>3.</w:t>
      </w:r>
      <w:r>
        <w:tab/>
        <w:t xml:space="preserve">Inne warunki wsparcia: </w:t>
      </w:r>
      <w:r>
        <w:br/>
        <w:t>A) Możliwe będzie realizowanie projektów hybrydowych zgodnie z art. 40 ustawy o zasadach realizacji zadań finansowanych ze środków europejskich w perspektywie finansowej 2021-2027.</w:t>
      </w:r>
      <w:r>
        <w:br/>
      </w:r>
      <w:r>
        <w:br/>
        <w:t>[1]Spójność projektu z SUMP lub innymi planami mobilności miejskiej należy rozpatrywać przez brak sprzeczności z postanowieniami obowiązującego na moment ogłoszenia naboru wniosków planu oraz poprzez niepodważanie przez projekt celów tego planu i niekolidowanie projektu z innymi działaniami podejmowanymi na jego podstawie (nie jest natomiast wymagane bezpośrednie wskazanie danej inwestycji w planie).</w:t>
      </w:r>
      <w:r>
        <w:br/>
      </w:r>
      <w:r>
        <w:br/>
        <w:t>[2] Spójność z przedmiotowymi dokumentami należy rozpatrywać przez brak sprzeczności z postanowieniami obowiązującego na moment ogłoszenia naboru wniosków programu i planu oraz poprzez niepodważanie przez projekt celów tych dokumentów i niekolidowanie projektu z innymi działaniami podejmowanymi na ich podstawie (nie jest natomiast wymagane bezpośrednie wskazanie danej inwestycji we wskazanych dokumentach).</w:t>
      </w:r>
      <w:r>
        <w:br/>
      </w:r>
    </w:p>
    <w:p w14:paraId="02C50E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E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E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0E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E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E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E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E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17 kwietnia 2024 r. w sprawie udzielania pomocy de minimis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14:paraId="02C50E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E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E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E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E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E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0E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E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E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E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2C50E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E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Organizacje społeczne i związki wyznaniowe, Zintegrowane Inwestycje Terytorialne (ZIT)</w:t>
      </w:r>
    </w:p>
    <w:p w14:paraId="02C50E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E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Organizacje pozarządowe, Pozarządowe organizacje turystyczne, Zintegrowane Inwestycje Terytorialne (ZIT)</w:t>
      </w:r>
    </w:p>
    <w:p w14:paraId="02C50E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E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edukacja_rowerowa, ścieżki_rowerowe, Zintegrowane_Inwestycje_Terytorialne</w:t>
      </w:r>
    </w:p>
    <w:p w14:paraId="02C50E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E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E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E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E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E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0E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02C50E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0E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E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E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WLWK-RCR064 - Roczna liczba użytkowników infrastruktury rowerowej</w:t>
      </w:r>
    </w:p>
    <w:p w14:paraId="02C50E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0E32"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35" w:name="_Toc235079773"/>
      <w:r>
        <w:rPr>
          <w:rFonts w:ascii="Calibri" w:hAnsi="Calibri" w:cs="Calibri"/>
          <w:i w:val="0"/>
          <w:sz w:val="32"/>
        </w:rPr>
        <w:t>Priorytet FESL.04 Fundusze Europejskie dla sprawnego transportu</w:t>
      </w:r>
      <w:bookmarkEnd w:id="35"/>
    </w:p>
    <w:p w14:paraId="02C50E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0E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0E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0E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02C50E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0E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CP3 - Lepiej połączona Europa dzięki zwiększeniu mobilności</w:t>
      </w:r>
    </w:p>
    <w:p w14:paraId="02C50E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0E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0E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lastRenderedPageBreak/>
        <w:t>Wysokość alokacji ogółem (EUR)</w:t>
      </w:r>
    </w:p>
    <w:p w14:paraId="02C50E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301 240 000,00</w:t>
      </w:r>
    </w:p>
    <w:p w14:paraId="02C50E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0E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301 240 000,00</w:t>
      </w:r>
    </w:p>
    <w:p w14:paraId="02C50E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0E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E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0E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0E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0E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E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E46"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6" w:name="_Toc235079774"/>
      <w:r>
        <w:rPr>
          <w:rFonts w:ascii="Calibri" w:hAnsi="Calibri" w:cs="Calibri"/>
          <w:sz w:val="32"/>
        </w:rPr>
        <w:t>Działanie FESL.04.01 Drogi wojewódzkie</w:t>
      </w:r>
      <w:bookmarkEnd w:id="36"/>
    </w:p>
    <w:p w14:paraId="02C50E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E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 - Rozwój i udoskonalanie zrównoważonej, odpornej na zmiany klimatu, inteligentnej i intermodalnej mobilności na poziomie krajowym, regionalnym i lokalnym, w tym poprawę dostępu do TEN-T oraz mobilności transgranicznej</w:t>
      </w:r>
    </w:p>
    <w:p w14:paraId="02C50E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E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138 240 000,00</w:t>
      </w:r>
    </w:p>
    <w:p w14:paraId="02C50E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E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138 240 000,00</w:t>
      </w:r>
    </w:p>
    <w:p w14:paraId="02C50E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E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089 - Nowo wybudowane lub rozbudowane drugorzędne połączenia drogowe z siecią drogową i węzłami TEN-T, 090 - Nowo wybudowane lub rozbudowane inne krajowe, regionalne i lokalne drogi dojazdowe, 093 - Inne drogi przebudowane lub zmodernizowane (autostrady, drogi krajowe, regionalne lub lokalne)</w:t>
      </w:r>
    </w:p>
    <w:p w14:paraId="02C50E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E50" w14:textId="7450D321"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Wsparciem objęte zostaną inwestycje polegające na budowie, przebudowie, modernizacji lub zmianie przebiegu dróg wojewódzkich, w tym w miastach na prawach powiatu. </w:t>
      </w:r>
      <w:r>
        <w:br/>
        <w:t xml:space="preserve">Celem działania będzie również eliminacja barier i zwiększenie dostępności dla osób ze szczególnymi potrzebami zgodnie z architektonicznym standardem dostępności. Inwestycje (dążąc do zmniejszenia ruchu samochodowego w centrach gmin) będą również uwzględniać kwestie bezpieczeństwa, w </w:t>
      </w:r>
      <w:r>
        <w:lastRenderedPageBreak/>
        <w:t>szczególności na rzecz niezmotoryzowanych uczestników ruchu. Dopuszcza się również zastosowanie rozwiązań cyfrowych w ramach projektu.</w:t>
      </w:r>
      <w:r>
        <w:br/>
      </w:r>
      <w:r>
        <w:br/>
        <w:t>Inwestycje w drogi wojewódzkie będą objęte wsparciem pod jednym z następujących warunków:</w:t>
      </w:r>
      <w:r>
        <w:br/>
        <w:t>- wpływają na poprawę bezpośredniego dostępu do sieci TEN-T, miejsc inwestycyjnych, terminali intermodalnych/centrów logistycznych, węzłów transportowych, zapewniających integrację transportu publicznego, przejść granicznych;</w:t>
      </w:r>
      <w:r>
        <w:br/>
        <w:t xml:space="preserve">- są niezbędne do wykonywania usług publicznego transportu zbiorowego na zasadach użyteczności publicznej oraz ukierunkowane na poprawę bezpieczeństwa ruchu drogowego (np. likwidacja miejsc niebezpiecznych); </w:t>
      </w:r>
      <w:r>
        <w:br/>
        <w:t>- są ukierunkowane na zmniejszenie ruchu samochodowego w miastach, w tym obwodnice;</w:t>
      </w:r>
      <w:r>
        <w:br/>
      </w:r>
      <w:r>
        <w:br/>
        <w:t>Inwestycje w drogi wojewódzkie położone na terenach miast będą objęte wsparciem pod jednym z następujących warunków:</w:t>
      </w:r>
      <w:r>
        <w:br/>
        <w:t>- polegają na budowie, przebudowie lub modernizacji obwodnic lub zmianie ich przebiegu;</w:t>
      </w:r>
      <w:r>
        <w:br/>
        <w:t>- nie będą powodowały zwiększenia ruchu samochodowego w centrach miast (np. przebudowa dróg mająca na celu uspokojenie ruchu itp.);</w:t>
      </w:r>
      <w:r>
        <w:br/>
        <w:t>- obejmują ukierunkowane działania na rzecz poprawy bezpieczeństwa ruchu drogowego (likwidacja miejsc niebezpiecznych).</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W ramach projektów dopuszczalne będą wydatki poniesione na podniesienie poziomu cyberbezpieczeństwa, zgodnie ze standardami wyznaczonymi w ramach krajowego systemu cyberbezpieczeństwa, bez powielania funkcji inwestycji prowadzonych z poziomu krajowego</w:t>
      </w:r>
      <w:r>
        <w:br/>
      </w:r>
      <w:r>
        <w:br/>
        <w:t>1.</w:t>
      </w:r>
      <w:r>
        <w:tab/>
        <w:t xml:space="preserve">Obligatoryjne warunki wsparcia: </w:t>
      </w:r>
      <w:r>
        <w:br/>
        <w:t>A)</w:t>
      </w:r>
      <w:r>
        <w:tab/>
        <w:t>Wszystkie inwestycje związane z drogami wojewódzkimi muszą wynikać z</w:t>
      </w:r>
      <w:r w:rsidR="002D509E">
        <w:t xml:space="preserve"> </w:t>
      </w:r>
      <w:r>
        <w:t>Regionalnego Planu Transportowego dla Województwa Śląskiego.</w:t>
      </w:r>
      <w:r>
        <w:br/>
        <w:t>B)</w:t>
      </w:r>
      <w:r>
        <w:tab/>
        <w:t xml:space="preserve"> Wszystkie projekty związane z drogami wojewódzkimi będą obejmować dostosowanie dróg do nacisku osi 11,5 tony.</w:t>
      </w:r>
      <w:r>
        <w:br/>
        <w:t xml:space="preserve">C) W celu uniknięcie dyskryminacji pośredniej, jaką jest nierówny dostęp do informacji, której doświadczają osoby państw trzecich (osoby mieszkające w Polsce o innym pochodzeniu), zaplanowane zostaną działania zapewniające powszechnie dostępne, przejrzyste i aktualizowane przez kompetentne instytucje informacje w językach obcych (angielski/ukraiński). </w:t>
      </w:r>
      <w:r>
        <w:br/>
        <w:t>D) W szczególności, tam gdzie jest to technicznie możliwe, realizowane projekty w zakresie infrastruktury drogowej będą obejmowały zapewnienie retencji i podczyszczania wód opadowych poprzez wykorzystanie zielonej i niebieskiej infrastruktury.</w:t>
      </w:r>
      <w:r>
        <w:br/>
        <w:t xml:space="preserve">E) Zgodność projektu realizowanego na obszarze miejskim z właściwym Planem Zrównoważonej Mobilności Miejskiej, a jeśli nie jest on wymagany – z innymi właściwymi dokumentami planowania </w:t>
      </w:r>
      <w:r>
        <w:lastRenderedPageBreak/>
        <w:t>mobilności miejskiej, jeśli zostały one przygotowane dla danego obszaru miejskiego i obowiązują w chwili ogłoszenia naboru.</w:t>
      </w:r>
      <w:r w:rsidR="002D509E">
        <w:t xml:space="preserve"> </w:t>
      </w:r>
      <w:r>
        <w:br/>
        <w:t xml:space="preserve">Spójność z SUMP lub innymi planami mobilności miejskiej należy rozpatrywać przez brak sprzeczności z postanowieniami obowiązującego na moment ogłoszenia naboru wniosków planu, ani też nie podważa celów tego planu i nie koliduje z innymi działaniami podejmowanymi na jego podstawie (nie jest natomiast wymagane bezpośrednie wskazanie danej inwestycji drogowej w planie). </w:t>
      </w:r>
      <w:r>
        <w:br/>
      </w:r>
      <w:r>
        <w:br/>
        <w:t xml:space="preserve">2. Preferowane warunki wsparcia: </w:t>
      </w:r>
      <w:r>
        <w:br/>
        <w:t>A)</w:t>
      </w:r>
      <w:r>
        <w:tab/>
        <w:t>Przy realizacji inwestycji zalecane jest wykorzystanie dobrych praktyk w zakresie ochrony środowiska, w szczególności standardów ochrony drzew [Standardy Ochrony Drzew - Narodowy Fundusz Ochrony Środowiska i Gospodarki Wodnej -</w:t>
      </w:r>
      <w:r w:rsidR="002D509E">
        <w:t xml:space="preserve"> </w:t>
      </w:r>
      <w:r>
        <w:t>https://www.gov.pl/web/nfosigw/standardy-ochrony-drzew, http://drzewa.org.pl/standardy].</w:t>
      </w:r>
      <w:r>
        <w:br/>
        <w:t>B) Premiowane będą projekty, które mają istotny wkład w realizację jednego z sześciu celów środowiskowych określanych w rozporządzeniu (UE) 2020/852.</w:t>
      </w:r>
      <w:r>
        <w:br/>
        <w:t>C) Preferowana będzie również realizacja zielonych zamówień publicznych w oparciu o opracowane przez KE wspólne kryteria możliwe do stosowania w państwach członkowskich Unii.</w:t>
      </w:r>
      <w:r>
        <w:br/>
        <w:t xml:space="preserve">D) W projektach, w których będzie to zasadne i możliwe zostaną zastosowane rozwiązania w zakresie obiegu cyrkularnego (w tym efektywności energetycznej i użycia energii ze źródeł odnawialnych) jak również elementy sprzyjające adaptacji do zmian klimatu. </w:t>
      </w:r>
      <w:r>
        <w:br/>
        <w:t>E) Możliwa będzie realizacja przedsięwzięć z partnerami mającymi siedzibę poza województwem śląskim. Przewiduje się, że działania związane z wsparciem infrastruktury transportowej będą komplementarne do działań przewidzianych w programach Interreg Europa oraz Europa Środkowa związanych z zieloną inteligentną mobilnością szczególnie w zakresie czerpania dobrych praktyk wynikających z projektów realizowanych z ww.programów. Ponadto wspierane będą komplementarne działania związane z infrastrukturą drogową finansowaną ze środków programów Interreg Czechy –Polska oraz Słowacja –Polska.</w:t>
      </w:r>
      <w:r>
        <w:br/>
      </w:r>
    </w:p>
    <w:p w14:paraId="02C50E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E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E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E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E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E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E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E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E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Uproszczone metody rozliczania</w:t>
      </w:r>
    </w:p>
    <w:p w14:paraId="02C50E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E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E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E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E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E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E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E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E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E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E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0E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E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w:t>
      </w:r>
    </w:p>
    <w:p w14:paraId="02C50E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E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drogi, drogi_wojewódzkie, obwodnice</w:t>
      </w:r>
    </w:p>
    <w:p w14:paraId="02C50E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E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E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E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WLWK-RCO110 - Długość dróg z nowymi lub zmodernizowanymi systemami zarządzania ruchem – poza TEN-T</w:t>
      </w:r>
    </w:p>
    <w:p w14:paraId="02C50E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WLWK-PLRO105 - Długość wybudowanych dróg wojewódzkich</w:t>
      </w:r>
    </w:p>
    <w:p w14:paraId="02C50E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WLWK-PLRO109 - Długość zmodernizowanych lub przebudowanych dróg wojewódzkich</w:t>
      </w:r>
    </w:p>
    <w:p w14:paraId="02C50E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E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E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WLWK-PLRO120 - Liczba wybudowanych obwodnic</w:t>
      </w:r>
    </w:p>
    <w:p w14:paraId="02C50E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PROG-FESLO-13 - Liczba obiektów poprawiających bezpieczeństwo użytkowników drogi</w:t>
      </w:r>
    </w:p>
    <w:p w14:paraId="02C50E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E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WLWK-PLRR051 - Liczba przedsięwzięć proekologicznych</w:t>
      </w:r>
    </w:p>
    <w:p w14:paraId="02C50E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WLWK-RCR056 - Oszczędność czasu dzięki udoskonalonej infrastrukturze drogowej</w:t>
      </w:r>
    </w:p>
    <w:p w14:paraId="02C50E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WLWK-RCR055 - Roczna liczba użytkowników nowo wybudowanych, przebudowanych, rozbudowanych lub zmodernizowanych dróg</w:t>
      </w:r>
    </w:p>
    <w:p w14:paraId="02C50E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E78"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7" w:name="_Toc235079775"/>
      <w:r>
        <w:rPr>
          <w:rFonts w:ascii="Calibri" w:hAnsi="Calibri" w:cs="Calibri"/>
          <w:sz w:val="32"/>
        </w:rPr>
        <w:t>Działanie FESL.04.02 Drogi gminne i powiatowe</w:t>
      </w:r>
      <w:bookmarkEnd w:id="37"/>
    </w:p>
    <w:p w14:paraId="02C50E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E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 - Rozwój i udoskonalanie zrównoważonej, odpornej na zmiany klimatu, inteligentnej i intermodalnej mobilności na poziomie krajowym, regionalnym i lokalnym, w tym poprawę dostępu do TEN-T oraz mobilności transgranicznej</w:t>
      </w:r>
    </w:p>
    <w:p w14:paraId="02C50E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E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0E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E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0E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E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090 - Nowo wybudowane lub rozbudowane inne krajowe, regionalne i lokalne drogi dojazdowe, 093 - Inne drogi przebudowane lub zmodernizowane (autostrady, drogi krajowe, regionalne lub lokalne)</w:t>
      </w:r>
    </w:p>
    <w:p w14:paraId="02C50E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E82" w14:textId="02860F6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w:t>
      </w:r>
      <w:r>
        <w:br/>
        <w:t xml:space="preserve">- inwestycje w drogi lokalne (powiatowe i gminne) polegające na budowie, przebudowie, modernizacji lub zmianie przebiegu obwodnic, a także przebudowie dróg mających na celu zmniejszenie ruchu drogowego na obszarach miejskich i ośrodkach gminnych (w tym zmniejszenie natężenia ruchu, spowolnienie prędkości, nadanie priorytetowi publicznemu transportowi zbiorowemu lub przyczyniające się do jego lepszej dostępności). </w:t>
      </w:r>
      <w:r>
        <w:br/>
        <w:t>I/ lub</w:t>
      </w:r>
      <w:r>
        <w:br/>
        <w:t xml:space="preserve">- inwestycje poprawiające bezpieczeństwo poprzez likwidację miejsc niebezpiecznych. </w:t>
      </w:r>
      <w:r>
        <w:br/>
        <w:t>Dopuszcza się również zastosowanie rozwiązań cyfrowych w ramach projektu.</w:t>
      </w:r>
      <w:r>
        <w:br/>
        <w:t xml:space="preserve">Celem inwestycji nie powinno być promowanie indywidualnego transportu samochodowego, ale poprawa dostępności i upowszechnienie transportu publicznego, zwiększenie bezpieczeństwa. </w:t>
      </w:r>
      <w:r>
        <w:br/>
      </w:r>
      <w:r>
        <w:br/>
        <w:t>Interwencja w drogi lokalne będzie ograniczona wyłącznie do inwestycji o charakterze dostępowym tzn. spełniającym jeden z warunków, bezpośredniego połączenia lub będzie stanowić brakujące połączenie z:</w:t>
      </w:r>
      <w:r>
        <w:br/>
        <w:t>- siecią TEN-T,</w:t>
      </w:r>
      <w:r>
        <w:br/>
        <w:t>- przejściami granicznymi,</w:t>
      </w:r>
      <w:r>
        <w:br/>
      </w:r>
      <w:r>
        <w:lastRenderedPageBreak/>
        <w:t>- innymi gałęziami transportu (portami lotniczymi, dworcami/ terminalami kolejowymi, potami rzecznymi),</w:t>
      </w:r>
      <w:r>
        <w:br/>
        <w:t>- terminalami intermodalnymi, centrami logistycznymi, terenami inwestycyjnymi ,</w:t>
      </w:r>
      <w:r>
        <w:br/>
        <w:t xml:space="preserve">lub nowymi terenami inwestycyjnymi. </w:t>
      </w:r>
      <w:r>
        <w:br/>
        <w:t>Jako istniejące tereny inwestycyjne traktowane będą tereny zewidencjonowane w wykazach:</w:t>
      </w:r>
      <w:r>
        <w:br/>
        <w:t>a.</w:t>
      </w:r>
      <w:r>
        <w:tab/>
        <w:t>Katowickiej Specjalnej Strefy Ekonomicznej, wynikających z Rozporządzenia Rady Ministrów z dnia 15 grudnia 2008 r. w sprawie katowickiej specjalnej strefy ekonomicznej (mapa większości terenów inwestycyjnych: https://mapa.ksse.com.pl/)</w:t>
      </w:r>
      <w:r>
        <w:br/>
        <w:t>b.</w:t>
      </w:r>
      <w:r>
        <w:tab/>
        <w:t>bazie Inwest–in Silesia na stronie Internetowej www.invest-in-silesia.pl (http://invest.europ.pl/?page=oferty-inwestycyjne).</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W ramach projektów dopuszczalne będą wydatki poniesione na podniesienie poziomu cyberbezpieczeństwa, zgodnie ze standardami wyznaczonymi w ramach krajowego systemu cyberbezpieczeństwa, bez powielania funkcji inwestycji prowadzonych z poziomu krajowego.</w:t>
      </w:r>
      <w:r>
        <w:br/>
      </w:r>
      <w:r>
        <w:br/>
        <w:t>1.</w:t>
      </w:r>
      <w:r>
        <w:tab/>
        <w:t>Obligatoryjne warunki wsparcia:</w:t>
      </w:r>
      <w:r>
        <w:br/>
        <w:t>A)</w:t>
      </w:r>
      <w:r>
        <w:tab/>
        <w:t>Wszystkie inwestycje związane z drogami gminnymi i powiatowymi muszą wynikać z właściwych dokumentów strategicznych, zawierających elementy związane z planowaniem transportu na poziomie lokalnym (np. plan rozwoju dróg powiatowych/gminnych, strategia ZIT/SUMP itp.).</w:t>
      </w:r>
      <w:r>
        <w:br/>
        <w:t>B)</w:t>
      </w:r>
      <w:r>
        <w:tab/>
        <w:t>Inwestycje realizowane w Miejskich Obszarach Funkcjonalnych muszą być spójne z odpowiednimi planami zrównoważonej mobilności miejskiej lub, w razie gdy ich przyjęcie nie jest wymagane, innymi dokumentami planowania mobilności miejskiej [1].</w:t>
      </w:r>
      <w:r>
        <w:br/>
        <w:t>C)</w:t>
      </w:r>
      <w:r>
        <w:tab/>
        <w:t xml:space="preserve"> Wszystkie projekty związane z drogami gminnymi i powiatowymi będą obejmować dostosowanie dróg do nacisku osi 11,5 tony.</w:t>
      </w:r>
      <w:r>
        <w:tab/>
      </w:r>
      <w:r>
        <w:br/>
        <w:t>D) W celu uniknięcie dyskryminacji pośredniej, jaką jest nierówny dostęp do informacji, której doświadczają osoby państw trzecich (osoby mieszkające w Polsce o innym pochodzeniu), zaplanowane zostaną działania zapewniające powszechnie dostępne, przejrzyste i aktualizowane przez kompetentne instytucje informacje w językach obcych (angielski/ukraiński).</w:t>
      </w:r>
      <w:r>
        <w:br/>
      </w:r>
      <w:r>
        <w:br/>
        <w:t>2.</w:t>
      </w:r>
      <w:r>
        <w:tab/>
        <w:t xml:space="preserve">Preferowane warunki wsparcia: </w:t>
      </w:r>
      <w:r>
        <w:br/>
        <w:t>A)</w:t>
      </w:r>
      <w:r>
        <w:tab/>
        <w:t>Przy realizacji inwestycji zalecane jest wykorzystanie dobrych praktyk w zakresie ochrony środowiska, w szczególności standardów ochrony drzew [Standardy Ochrony Drzew - Narodowy Fundusz Ochrony Środowiska i Gospodarki Wodnej -</w:t>
      </w:r>
      <w:r w:rsidR="002D509E">
        <w:t xml:space="preserve"> </w:t>
      </w:r>
      <w:r>
        <w:t>https://www.gov.pl/web/nfosigw/standardy-ochrony-drzew, http://drzewa.org.pl/standardy].</w:t>
      </w:r>
      <w:r>
        <w:br/>
        <w:t>B) Premiowane będą projekty, które mają istotny wkład w realizację jednego z sześciu celów środowiskowych określanych w rozporządzeniu (UE) 2020/852.</w:t>
      </w:r>
      <w:r>
        <w:br/>
        <w:t xml:space="preserve">C) Preferowana będzie realizacja zielonych zamówień publicznych w oparciu o opracowane przez KE wspólne kryteria możliwe do stosowania w państwach członkowskich Unii. </w:t>
      </w:r>
      <w:r>
        <w:br/>
        <w:t xml:space="preserve">D) W projektach, w których będzie to zasadne i możliwe zostaną zastosowane rozwiązania w zakresie </w:t>
      </w:r>
      <w:r>
        <w:lastRenderedPageBreak/>
        <w:t>obiegu cyrkularnego (w tym efektywności energetycznej i użycia energii ze źródeł odnawialnych) jak również elementy sprzyjające adaptacji do zmian klimatu. W szczególności, tam gdzie jest to technicznie możliwe, realizowane projekty w zakresie infrastruktury drogowej będą obejmowały zapewnienie retencji i podczyszczania wód opadowych poprzez wykorzystanie zielonej i niebieskiej infrastruktury.</w:t>
      </w:r>
      <w:r>
        <w:br/>
        <w:t>E)</w:t>
      </w:r>
      <w:r>
        <w:tab/>
        <w:t>Możliwa będzie realizacja przedsięwzięć z partnerami mającymi siedzibę poza województwem śląskim. Przewiduje się, że działania związane z wsparciem infrastruktury transportowej będą komplementarne do działań przewidzianych w programach Interreg Europa oraz Europa Środkowa związanych z zieloną inteligentną mobilnością szczególnie w zakresie czerpania dobrych praktyk wynikających z projektów realizowanych z ww. programów. Ponadto wspierane będą komplementarne działania związane z infrastrukturą drogową finansowaną ze środków programów Interreg Czechy–Polska oraz Słowacja–Polska.</w:t>
      </w:r>
      <w:r>
        <w:br/>
      </w:r>
      <w:r>
        <w:br/>
        <w:t>[1] Spójność projektu z SUMP lub innymi planami mobilności miejskiej należy rozpatrywać przez brak sprzeczności z postanowieniami obowiązującego na moment ogłoszenia naboru wniosków planu oraz poprzez niepodważanie przez projekt celów tego planu i niekolidowanie projektu z innymi działaniami podejmowanymi na jego podstawie (nie jest natomiast wymagane bezpośrednie wskazanie danej inwestycji w planie).</w:t>
      </w:r>
      <w:r>
        <w:br/>
      </w:r>
    </w:p>
    <w:p w14:paraId="02C50E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E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E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E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E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E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E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E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0E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E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E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E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E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E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0E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E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E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E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E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E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0E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E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w:t>
      </w:r>
    </w:p>
    <w:p w14:paraId="02C50E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E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drogi, drogi_gminne, drogi_powiatowe, obwodnice</w:t>
      </w:r>
    </w:p>
    <w:p w14:paraId="02C50E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E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E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E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WLWK-PLRO107 - Długość wybudowanych dróg gminnych</w:t>
      </w:r>
    </w:p>
    <w:p w14:paraId="02C50E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WLWK-PLRO106 - Długość wybudowanych dróg powiatowych</w:t>
      </w:r>
    </w:p>
    <w:p w14:paraId="02C50E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WLWK-PLRO111 - Długość zmodernizowanych lub przebudowanych dróg gminnych</w:t>
      </w:r>
    </w:p>
    <w:p w14:paraId="02C50E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WLWK-PLRO110 - Długość zmodernizowanych lub przebudowanych dróg powiatowych</w:t>
      </w:r>
    </w:p>
    <w:p w14:paraId="02C50E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E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0E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WLWK-PLRO120 - Liczba wybudowanych obwodnic</w:t>
      </w:r>
    </w:p>
    <w:p w14:paraId="02C50E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PROG-FESLO-13 - Liczba obiektów poprawiających bezpieczeństwo użytkowników drogi</w:t>
      </w:r>
    </w:p>
    <w:p w14:paraId="02C50E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E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E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WLWK-RCR056 - Oszczędność czasu dzięki udoskonalonej infrastrukturze drogowej</w:t>
      </w:r>
    </w:p>
    <w:p w14:paraId="02C50E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WLWK-RCR055 - Roczna liczba użytkowników nowo wybudowanych, przebudowanych, rozbudowanych lub zmodernizowanych dróg</w:t>
      </w:r>
    </w:p>
    <w:p w14:paraId="02C50E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EA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8" w:name="_Toc235079776"/>
      <w:r>
        <w:rPr>
          <w:rFonts w:ascii="Calibri" w:hAnsi="Calibri" w:cs="Calibri"/>
          <w:sz w:val="32"/>
        </w:rPr>
        <w:lastRenderedPageBreak/>
        <w:t>Działanie FESL.04.03 Regionalny tabor kolejowy</w:t>
      </w:r>
      <w:bookmarkEnd w:id="38"/>
    </w:p>
    <w:p w14:paraId="02C50E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E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 - Rozwój i udoskonalanie zrównoważonej, odpornej na zmiany klimatu, inteligentnej i intermodalnej mobilności na poziomie krajowym, regionalnym i lokalnym, w tym poprawę dostępu do TEN-T oraz mobilności transgranicznej</w:t>
      </w:r>
    </w:p>
    <w:p w14:paraId="02C50E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E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163 000 000,00</w:t>
      </w:r>
    </w:p>
    <w:p w14:paraId="02C50E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E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163 000 000,00</w:t>
      </w:r>
    </w:p>
    <w:p w14:paraId="02C50E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E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107 - Bezemisyjny / zasilany energią elektryczną tabor kolejowy</w:t>
      </w:r>
    </w:p>
    <w:p w14:paraId="02C50E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EB5" w14:textId="292C38E6"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możliwe do wsparcia będą dwa rodzaje interwencji:</w:t>
      </w:r>
      <w:r>
        <w:br/>
        <w:t>Typ 1: Zakup taboru kolejowego do przewozów o charakterze regionalnym</w:t>
      </w:r>
      <w:r>
        <w:br/>
        <w:t>Typ 2. Rozbudowa i doposażenie zaplecza technicznego</w:t>
      </w:r>
      <w:r w:rsidR="002D509E">
        <w:t xml:space="preserve"> </w:t>
      </w:r>
      <w:r>
        <w:br/>
      </w:r>
      <w:r>
        <w:br/>
        <w:t xml:space="preserve">W ramach typu 1. inwestycji wsparcie obejmie zakup bezemisyjnego taboru kolejowego do przewozów o charakterze regionalnym, wykorzystywanym do przewozów pasażerskich użyteczności publicznej, wykonywanych przez operatorów, wyłonionych zgodnie z prawem UE. Nowo zakupiony tabor będzie wyposażony w ERTMS. </w:t>
      </w:r>
      <w:r>
        <w:br/>
        <w:t xml:space="preserve">W ramach typu 2. inwestycji realizowane będą projekty z zakresu doposażenia i rozbudowy infrastruktury niezbędnej do obsługi i serwisowania zakupionego taboru. Inwestycje te nie mogą obejmować wydatków, związanych z bieżącym utrzymaniem i remontami infrastruktury i taboru. </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W ramach projektów dopuszczalne będą wydatki poniesione na podniesienie poziomu cyberbezpieczeństwa, zgodnie ze standardami wyznaczonymi w ramach krajowego systemu cyberbezpieczeństwa, bez powielania funkcji inwestycji prowadzonych z poziomu krajowego</w:t>
      </w:r>
      <w:r>
        <w:br/>
      </w:r>
      <w:r>
        <w:br/>
        <w:t xml:space="preserve">Obligatoryjne i inne warunki wsparcia (dotyczą 1. i 2. typu inwestycji): </w:t>
      </w:r>
      <w:r>
        <w:br/>
        <w:t>A) Wszystkie inwestycje związane z taborem kolejowym muszą wynikać z Regionalnego Planu Transportowego dla Województwa Śląskiego.</w:t>
      </w:r>
      <w:r>
        <w:br/>
        <w:t xml:space="preserve">B) W przypadku umów zawartych po grudniu 2020 r. dofinansowanie będzie dotyczyć zasadniczo </w:t>
      </w:r>
      <w:r>
        <w:lastRenderedPageBreak/>
        <w:t>operatorów wybranych w procedurze przetargowej w rozumieniu Rozporządzenia 1370/2007, z zastrzeżeniem wyjątków wskazanych w tym rozporządzeniu. Realizowane będą te projekty, w których nastąpi pełne rozliczenie korzyści, wynikającej z dofinansowania inwestycji taborowej. Stosowane będą w tym względzie rozwiązania już uzgodnione z KE. Między innymi możliwe będzie przejęcie taboru przez organizatora po cenie rynkowej, pomniejszonej o otrzymane przez operatora wsparcie (pomoc publiczną) bądź udostępnienie taboru innym uczestnikom rynku na niedyskryminujących warunkach.</w:t>
      </w:r>
      <w:r>
        <w:br/>
        <w:t>C) W celu uniknięcia dyskryminacji pośredniej, jaką jest nierówny dostęp do informacji, której doświadczają osoby państw trzecich (osoby mieszkające w Polsce o innym pochodzeniu), zaplanowane zostaną działania zapewniające powszechnie dostępne, przejrzyste i aktualizowane przez kompetentne instytucje informacje w językach obcych (angielski/ukraiński).</w:t>
      </w:r>
      <w:r>
        <w:br/>
        <w:t>D) W projektach, w których będzie to zasadne i możliwe zostaną zastosowane rozwiązania w zakresie obiegu cyrkularnego (w tym efektywności energetycznej i użycia energii ze źródeł odnawialnych) jak również elementy sprzyjające adaptacji do zmian klimatu.</w:t>
      </w:r>
      <w:r>
        <w:br/>
        <w:t>E)</w:t>
      </w:r>
      <w:r>
        <w:tab/>
        <w:t>Możliwa będzie realizacja przedsięwzięć z partnerami mającymi siedzibę poza województwem śląskim. Przewiduje się, że działania związane z wsparciem infrastruktury transportowej będą komplementarne do działań przewidzianych w programach Interreg Europa oraz Europa Środkowa związanych z zieloną inteligentną mobilnością szczególnie w zakresie czerpania dobrych praktyk wynikających z projektów realizowanych z ww. programów. Ponadto wspierane będą komplementarne działania związane z infrastrukturą drogową finansowaną ze środków programów Interreg Czechy –Polska oraz Słowacja –Polska.</w:t>
      </w:r>
      <w:r>
        <w:br/>
      </w:r>
    </w:p>
    <w:p w14:paraId="02C50E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E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E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E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E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E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E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E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17 kwietnia 2024 r. w sprawie udzielania pomocy de minimis w ramach regionalnych programów na lata 2021–2027 (Dz.U. 2024 poz. 598)</w:t>
      </w:r>
    </w:p>
    <w:p w14:paraId="02C50E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E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0E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E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E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E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E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E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0E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E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E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E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realizujące cele publiczne</w:t>
      </w:r>
    </w:p>
    <w:p w14:paraId="02C50E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E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Przedsiębiorstwa kolejowych przewozów pasażerskich</w:t>
      </w:r>
    </w:p>
    <w:p w14:paraId="02C50E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E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czysty_transport, kolej, pociąg</w:t>
      </w:r>
    </w:p>
    <w:p w14:paraId="02C50E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E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E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E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E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E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0E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WLWK-PLRO199 - Liczba projektów, w których sfinansowano koszty racjonalnych usprawnień dla osób z niepełnosprawnościami (EFRR/FST/FS)</w:t>
      </w:r>
    </w:p>
    <w:p w14:paraId="02C50E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WLWK-PLRO242 - Liczba utworzonych/przebudowanych stanowisk technicznych do obsługi taboru kolejowego</w:t>
      </w:r>
    </w:p>
    <w:p w14:paraId="02C50E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WLWK-PLRO113 - Liczba zakupionych jednostek kolejowego taboru pasażerskiego</w:t>
      </w:r>
    </w:p>
    <w:p w14:paraId="02C50E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WLWK-PLRO116 - Pojemność zakupionych jednostek taboru kolejowego</w:t>
      </w:r>
    </w:p>
    <w:p w14:paraId="02C50E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E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WLWK-PLRR022 - Liczba osób korzystających z zakupionego lub zmodernizowanego kolejowego taboru pasażerskiego w ciągu roku</w:t>
      </w:r>
    </w:p>
    <w:p w14:paraId="02C50E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0E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0EDC"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39" w:name="_Toc235079777"/>
      <w:r>
        <w:rPr>
          <w:rFonts w:ascii="Calibri" w:hAnsi="Calibri" w:cs="Calibri"/>
          <w:i w:val="0"/>
          <w:sz w:val="32"/>
        </w:rPr>
        <w:t>Priorytet FESL.05 Fundusze Europejskie dla rynku pracy</w:t>
      </w:r>
      <w:bookmarkEnd w:id="39"/>
    </w:p>
    <w:p w14:paraId="02C50E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0E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0E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0E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02C50E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0E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02C50E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0E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0E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0E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233 441 843,00</w:t>
      </w:r>
    </w:p>
    <w:p w14:paraId="02C50E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0E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212 375 194,00</w:t>
      </w:r>
    </w:p>
    <w:p w14:paraId="02C50E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0E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E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0E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0E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lastRenderedPageBreak/>
        <w:t>Odsetek dla regionów przejściowych</w:t>
      </w:r>
    </w:p>
    <w:p w14:paraId="02C50E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E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EF0"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0" w:name="_Toc235079778"/>
      <w:r>
        <w:rPr>
          <w:rFonts w:ascii="Calibri" w:hAnsi="Calibri" w:cs="Calibri"/>
          <w:sz w:val="32"/>
        </w:rPr>
        <w:t>Działanie FESL.05.01 Aktywizacja zawodowa poprzez PUP</w:t>
      </w:r>
      <w:bookmarkEnd w:id="40"/>
    </w:p>
    <w:p w14:paraId="02C50E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E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02C50E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0E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0E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E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125 255 789,00</w:t>
      </w:r>
    </w:p>
    <w:p w14:paraId="02C50E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E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106 467 421,00</w:t>
      </w:r>
    </w:p>
    <w:p w14:paraId="02C50E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E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134 - Działania na rzecz poprawy dostępu do zatrudnienia, 136 - Wsparcie szczególne na rzecz zatrudnienia ludzi młodych i integracji społeczno-gospodarczej ludzi młodych</w:t>
      </w:r>
    </w:p>
    <w:p w14:paraId="02C50E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E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 xml:space="preserve">Interwencja oferowana ze środków EFS+ obejmować będzie kompleksowe wsparcie w ramach aktywizacji zawodowej, tak aby zwiększyć możliwość trwałego zatrudnienia, tworzenia nowych miejsc pracy, między innymi poprzez wspieranie rozwoju przedsiębiorczości i samozatrudnienia dla grup wskazanych w ustawie właściwej regulującej politykę rynku pracy, realizowane wyłącznie przez Powiatowe Urzędy Pracy (PUP), tj.: pośrednictwo pracy, doradztwo zawodowe, szkolenia w ramach aktywizacji zawodowej na podstawie IPD, subsydiowane zatrudnienie, wsparcie towarzyszące, np. zwrot kosztów dojazdu, dotacje na zakładanie działalności gospodarczej, staże, praktyki zawodowe, doposażenie/wyposażenie miejsca pracy, prace interwencyjne, bony na zasiedlenie. </w:t>
      </w:r>
      <w:r>
        <w:br/>
      </w:r>
      <w:r>
        <w:br/>
        <w:t>Działania będą miały wpływ na przeciwdziałanie segmentacji rynku pracy.</w:t>
      </w:r>
      <w:r>
        <w:br/>
      </w:r>
      <w:r>
        <w:br/>
        <w:t xml:space="preserve">W ramach projektów PUP w zakresie przewidzianych form pomocy, wsparcie udzielane będzie w oparciu </w:t>
      </w:r>
      <w:r>
        <w:lastRenderedPageBreak/>
        <w:t>o zasady pomocy de minimis, zgodnie z odpowiednimi rozporządzeniami wykonawczymi do ustawy właściwej regulującej politykę rynku pracy.</w:t>
      </w:r>
      <w:r>
        <w:br/>
      </w:r>
      <w:r>
        <w:br/>
        <w:t>Typy projektów:</w:t>
      </w:r>
      <w:r>
        <w:br/>
      </w:r>
      <w:r>
        <w:br/>
        <w:t>Projekty z zakresu kompleksowej aktywizacji zawodowo-edukacyjnej, w ramach których są realizowane formy pomocy wskazane w ustawie właściwej regulującej politykę rynku pracy.</w:t>
      </w:r>
      <w:r>
        <w:br/>
      </w:r>
      <w:r>
        <w:br/>
        <w:t>Obligatoryjne warunki wsparcia:</w:t>
      </w:r>
      <w:r>
        <w:br/>
      </w:r>
      <w:r>
        <w:br/>
        <w:t>• Działania dla osób młodych w ramach projektów PUP będą realizowane zgodnie z Zaleceniem Rady z dnia 30 października 2020 r. w sprawie pomostu do zatrudnienia – wzmocnienia Gwarancji dla młodzieży oraz zastępującym zalecenie Rady z dnia 22 kwietnia 2013 r. w sprawie ustanowienia Gwarancji dla młodzieży (Dz. Urz. UE C 372 z 04.11.2020, str. 1) i z polskim Planem Gwarancji dla młodzieży.</w:t>
      </w:r>
      <w:r>
        <w:br/>
      </w:r>
      <w:r>
        <w:br/>
        <w:t>• Udział osoby młodej w formie wsparcia powinien zostać poprzedzony oceną umiejętności cyfrowych.</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p>
    <w:p w14:paraId="02C50E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E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E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F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0F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F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F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F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Rodziny, Pracy i Polityki Społecznej z dnia 21 listopada 2025 r. w sprawie wniosków i realizacji umów o dofinansowanie podjęcia działalności gospodarczej oraz o refundację kosztów wyposażenia lub doposażenia stanowiska pracy (Dz.U. 2025 poz. 1645)</w:t>
      </w:r>
    </w:p>
    <w:p w14:paraId="02C50F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Uproszczone metody rozliczania</w:t>
      </w:r>
    </w:p>
    <w:p w14:paraId="02C50F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uproszczona metoda rozliczania wydatków w oparciu o projekt budżetu [art. 53(3)(b) CPR]</w:t>
      </w:r>
    </w:p>
    <w:p w14:paraId="02C50F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F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F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F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F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F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0F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F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F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F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02C50F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F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w:t>
      </w:r>
    </w:p>
    <w:p w14:paraId="02C50F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F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aktywizacja_zawodowa, bezrobotny, Gwarancje_dla_Młodzieży_(GdM), kompetencje_cyfrowe, osoby_z_niepełnosprawnościami, osoby_ze_szczególnymi_potrzebami, rynek_pracy, wsparcie_dla_młodych</w:t>
      </w:r>
    </w:p>
    <w:p w14:paraId="02C50F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F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F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F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0F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0F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0F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0F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02C50F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WLWK-PLACO01 - Liczba osób, które otrzymały bezzwrotne środki na podjęcie działalności gospodarczej w programie</w:t>
      </w:r>
    </w:p>
    <w:p w14:paraId="02C50F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WLWK-EECO15 - Liczba osób należących do mniejszości, w tym społeczności marginalizowanych takich jak Romowie, objętych wsparciem w programie</w:t>
      </w:r>
    </w:p>
    <w:p w14:paraId="02C50F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0F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0F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02C50F22" w14:textId="419362AD"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w:t>
      </w:r>
      <w:r w:rsidR="002D509E">
        <w:t xml:space="preserve"> </w:t>
      </w:r>
      <w:r>
        <w:t>objętych wsparciem w programie</w:t>
      </w:r>
    </w:p>
    <w:p w14:paraId="02C50F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0F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0F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0F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02C50F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PROG-FESLO-26 - Liczba osób o niskich kwalifikacjach objętych wsparciem w programie</w:t>
      </w:r>
    </w:p>
    <w:p w14:paraId="02C50F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0F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0F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PROG-FESLO-01 - Wartość wydatków kwalifikowalnych przeznaczonych na realizację gwarancji dla młodzieży</w:t>
      </w:r>
    </w:p>
    <w:p w14:paraId="02C50F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F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02C50F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0F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2C50F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PROG-FESLR-21 - Liczba osób, które uzyskały kwalifikacje cyfrowe po opuszczeniu programu</w:t>
      </w:r>
    </w:p>
    <w:p w14:paraId="02C50F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F31"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1" w:name="_Toc235079779"/>
      <w:r>
        <w:rPr>
          <w:rFonts w:ascii="Calibri" w:hAnsi="Calibri" w:cs="Calibri"/>
          <w:sz w:val="32"/>
        </w:rPr>
        <w:t>Działanie FESL.05.02 Aktywizacja zawodowa poprzez OHP</w:t>
      </w:r>
      <w:bookmarkEnd w:id="41"/>
    </w:p>
    <w:p w14:paraId="02C50F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F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02C50F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0F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Wojewódzki Urząd Pracy w Katowicach</w:t>
      </w:r>
    </w:p>
    <w:p w14:paraId="02C50F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F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6 000 000,00</w:t>
      </w:r>
    </w:p>
    <w:p w14:paraId="02C50F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F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6 000 000,00</w:t>
      </w:r>
    </w:p>
    <w:p w14:paraId="02C50F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F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w:t>
      </w:r>
    </w:p>
    <w:p w14:paraId="02C50F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F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Interwencja oferowana ze środków EFS+ obejmować będzie kompleksowe wsparcie, których celem jest aktywizacja społeczna, zawodowa i ekonomiczna młodzieży w przedziale wiekowym 15-25 lat, mającej trudności z nauką. Główny zakres wsparcia obejmować będzie działania, których celem jest podwyższenie, zmiana lub aktualizacja posiadanych umiejętności i kwalifikacji zawodowych, tj. m.in.: pośrednictwo pracy, doradztwo zawodowe, szkolenia w ramach aktywizacji zawodowej, subsydiowane zatrudnienie, staże dla osób powyżej 18 r.ż., zajęcia edukacyjno – szkoleniowe umożliwiające kontynuowanie nauki i uzupełnienie wykształcenia ogólnego i zawodowego, zajęcia integracyjne dla młodzieży.</w:t>
      </w:r>
      <w:r>
        <w:br/>
      </w:r>
      <w:r>
        <w:br/>
        <w:t>W ramach projektów OHP w zakresie przewidzianych form pomocy, wsparcie udzielane będzie w oparciu o zasady pomocy de minimis na podstawie Rozporządzenia Ministra Funduszy i Polityki Regionalnej z dnia 20 grudnia 2022 r. w sprawie udzielania pomocy de minimis oraz pomocy publicznej w ramach programów finansowanych z Europejskiego Funduszu Społecznego Plus (EFS+) na lata 2021-2027.</w:t>
      </w:r>
      <w:r>
        <w:br/>
      </w:r>
      <w:r>
        <w:br/>
      </w:r>
      <w:r>
        <w:br/>
        <w:t>Typy projektów:</w:t>
      </w:r>
      <w:r>
        <w:br/>
      </w:r>
      <w:r>
        <w:br/>
        <w:t>Projekty z zakresu kompleksowego wsparcia, w ramach których są realizowane formy pomocy wskazane w ustawie właściwej regulującej politykę rynku pracy, dotyczące głównych zadań Ochotniczych Hufców Pracy.</w:t>
      </w:r>
      <w:r>
        <w:br/>
      </w:r>
      <w:r>
        <w:br/>
        <w:t>Obligatoryjne warunki wsparcia:</w:t>
      </w:r>
      <w:r>
        <w:br/>
      </w:r>
      <w:r>
        <w:br/>
        <w:t>•</w:t>
      </w:r>
      <w:r>
        <w:tab/>
        <w:t xml:space="preserve">Działania dla osób młodych w ramach projektów OHP będą realizowane zgodnie z Zaleceniem Rady z dnia 30 października 2020 r. w sprawie pomostu do zatrudnienia – wzmocnienia Gwarancji dla młodzieży oraz zastępującym zalecenie Rady z dnia 22 kwietnia 2013 r. w sprawie ustanowienia Gwarancji dla młodzieży (Dz. Urz. UE C 372 z 04.11.2020, str. 1) i z polskim Planem Gwarancji dla </w:t>
      </w:r>
      <w:r>
        <w:lastRenderedPageBreak/>
        <w:t>młodzieży.</w:t>
      </w:r>
      <w:r>
        <w:br/>
      </w:r>
      <w:r>
        <w:br/>
        <w:t>•</w:t>
      </w:r>
      <w:r>
        <w:tab/>
        <w:t xml:space="preserve">Udział osoby młodej w formie wsparcia powinien zostać poprzedzony oceną umiejętności cyfrowych. </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0F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F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F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F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F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F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0F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F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0F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F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0F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F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F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F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02C50F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F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0F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F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02C50F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F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02C50F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F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w:t>
      </w:r>
    </w:p>
    <w:p w14:paraId="02C50F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F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bezrobotny, edukacja, Gwarancje_dla_Młodzieży_(GdM), kompetencje, kompetencje_cyfrowe, Ochotnicze_Hufce_Pracy_(OHP), osoby_ze_szczególnymi_potrzebami, wsparcie_dla_młodych</w:t>
      </w:r>
    </w:p>
    <w:p w14:paraId="02C50F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F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F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F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0F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0F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0F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0F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0F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02C50F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0F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0F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0F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02C50F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WLWK-EECO06 - Liczba osób w wieku poniżej 18 lat objętych wsparciem w programie</w:t>
      </w:r>
    </w:p>
    <w:p w14:paraId="02C50F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0F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0F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0F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02C50F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PROG-FESLO-26 - Liczba osób o niskich kwalifikacjach objętych wsparciem w programie</w:t>
      </w:r>
    </w:p>
    <w:p w14:paraId="02C50F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0F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0F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PROG-FESLO-01 - Wartość wydatków kwalifikowalnych przeznaczonych na realizację gwarancji dla młodzieży</w:t>
      </w:r>
    </w:p>
    <w:p w14:paraId="02C50F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F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02C50F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0F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02C50F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2C50F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PROG-FESLR-21 - Liczba osób, które uzyskały kwalifikacje cyfrowe po opuszczeniu programu</w:t>
      </w:r>
    </w:p>
    <w:p w14:paraId="02C50F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F73"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2" w:name="_Toc235079780"/>
      <w:r>
        <w:rPr>
          <w:rFonts w:ascii="Calibri" w:hAnsi="Calibri" w:cs="Calibri"/>
          <w:sz w:val="32"/>
        </w:rPr>
        <w:t>Działanie FESL.05.03 ALMA - staże zagraniczne dla młodych</w:t>
      </w:r>
      <w:bookmarkEnd w:id="42"/>
    </w:p>
    <w:p w14:paraId="02C50F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F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02C50F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0F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0F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F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5 029 411,00</w:t>
      </w:r>
    </w:p>
    <w:p w14:paraId="02C50F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F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4 500 000,00</w:t>
      </w:r>
    </w:p>
    <w:p w14:paraId="02C50F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F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w:t>
      </w:r>
    </w:p>
    <w:p w14:paraId="02C50F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F7F" w14:textId="7A9CE30B"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ALMA: Aim-Learn-Master-Achieve (mierz wysoko, ucz się, osiągaj biegłość, realizuj cele) jest jedną z inicjatyw Komisji Europejskiej w ramach Europejskiego Roku Młodzieży 2022 i stanowi kluczowe narzędzie we wdrażaniu Gwarancji dla młodzieży (GdM) (*1). ALMA bazuje na programie Mobilności TLN (Mobilność Transnarodową Sieci Uczenia się).</w:t>
      </w:r>
      <w:r>
        <w:br/>
      </w:r>
      <w:r>
        <w:br/>
        <w:t>*1.</w:t>
      </w:r>
      <w:r w:rsidR="002D509E">
        <w:t xml:space="preserve"> </w:t>
      </w:r>
      <w:r>
        <w:t>Dokument pn. „Plan realizacji Gwarancji dla młodzieży w Polsce. Aktualizacja 2022” jest dostępny na stronie programu Gwarancje dla młodzieży: https://dlamlodych.praca.gov.pl/o-programie.</w:t>
      </w:r>
      <w:r>
        <w:br/>
      </w:r>
      <w:r>
        <w:br/>
        <w:t>Celem inicjatywy ALMA jest aktywne włączenie i wzmocnienie pozycji młodych osób w przedziale wiekowym 15-29 lat, które nie kształcą się, nie pracują ani nie szkolą (osoby należące do kategorii NEET), w szczególności znajdujących się w niekorzystnej sytuacji (np. osoby z niepełnosprawnością, osoby zagrożone wykluczeniem społecznym, osoby długotrwale bezrobotne, obywatele państw trzecich).</w:t>
      </w:r>
      <w:r>
        <w:br/>
      </w:r>
      <w:r>
        <w:br/>
        <w:t>Interwencja zakłada wsparcie młodzieży w odnalezieniu się na rynku pracy oraz integracji ze społeczeństwem poprzez połączenie wsparcia edukacyjnego, szkoleniowego z doświadczeniem nabytym w trakcie stażu zagranicznego.</w:t>
      </w:r>
      <w:r>
        <w:br/>
      </w:r>
      <w:r>
        <w:br/>
        <w:t>Obligatoryjne wsparcie w projekcie będzie realizowane poprzez trzy etapy:</w:t>
      </w:r>
      <w:r>
        <w:br/>
      </w:r>
      <w:r>
        <w:br/>
        <w:t>1)</w:t>
      </w:r>
      <w:r>
        <w:tab/>
        <w:t>Przygotowanie: uczestnicy otrzymają intensywne, dopasowane do ich potrzeb szkolenie zawodowe, kurs językowy i doradztwo w kraju zamieszkania celem praktycznego przygotowania ich do pobytu za granicą.</w:t>
      </w:r>
      <w:r>
        <w:br/>
        <w:t>2)</w:t>
      </w:r>
      <w:r>
        <w:tab/>
        <w:t>Mobilność: zapewnienie uczestnikom stażu zagranicznego trwającego od 2 do 6 miesięcy w innym państwie członkowskim UE.</w:t>
      </w:r>
      <w:r>
        <w:br/>
        <w:t>3)</w:t>
      </w:r>
      <w:r>
        <w:tab/>
        <w:t>Działania następcze: zapewnienie uczestnikom dalszego wsparcia po powrocie z zagranicy do kraju zamieszkania, aby lepiej wykorzystali nowo nabyte umiejętności celem zdobycia zatrudnienia lub podjęcia dalszej edukacji.</w:t>
      </w:r>
      <w:r>
        <w:br/>
      </w:r>
      <w:r>
        <w:br/>
        <w:t xml:space="preserve">Przygotowanie do pobytu zagranicznego może odbywać się w grupach lub indywidualnie, w zależności od charakteru wsparcia. Obowiązkowe formy wsparcia mogą być uzupełnione o inne aktywności grupowe (zidentyfikowane napodstawie potrzeb uczestników) np. warsztaty z zakresu umiejętności społecznych albo spotkania informacyjne, uwzględniające różnice kulturowe. </w:t>
      </w:r>
      <w:r>
        <w:br/>
      </w:r>
      <w:r>
        <w:br/>
        <w:t>Inicjatywa ALMA jest adresowana do wszystkich podmiotów, z wyłączeniem osób fizycznych (nie dotyczy osób prowadzących działalność gospodarczą lub oświatową na podstawie przepisów odrębnych).</w:t>
      </w:r>
      <w:r>
        <w:br/>
        <w:t xml:space="preserve"> </w:t>
      </w:r>
      <w:r>
        <w:br/>
        <w:t>Typy projektów:</w:t>
      </w:r>
      <w:r>
        <w:br/>
      </w:r>
      <w:r>
        <w:br/>
        <w:t xml:space="preserve">Projekty w ramach Inicjatywy ALMA obejmujące instrumenty aktywizacji zawodowej młodzieży w przedziale wiekowym 15-29 lat, należącej do grupy NEET, w szczególności znajdującej się w niekorzystnej </w:t>
      </w:r>
      <w:r>
        <w:lastRenderedPageBreak/>
        <w:t>sytuacji.</w:t>
      </w:r>
      <w:r w:rsidR="002D509E">
        <w:t xml:space="preserve"> </w:t>
      </w:r>
      <w:r>
        <w:br/>
      </w:r>
      <w:r>
        <w:br/>
        <w:t>WARUNKI:</w:t>
      </w:r>
      <w:r>
        <w:br/>
      </w:r>
      <w:r>
        <w:br/>
        <w:t>a) wsparcie, w tym staże zagraniczne realizowane w ramach inicjatywy ALMA będzie uwzględniać zasady realizacji interwencji, które zostały opisane w dokumentach KE: „ALMA: Aim- Learn-Master-Achieve. Active inclusion initiative for integrating disadvantaged young people not in education, employment or training (NEETs) through mobility. Manual of Guidance”, „ALMA: Aim- Learn-Master-Achieve. Active inclusion initiative for integrating disadvantaged young people not in education, employment or training (NEETs) through mobility. Handbook”;</w:t>
      </w:r>
      <w:r>
        <w:br/>
      </w:r>
      <w:r>
        <w:br/>
        <w:t>b) partnerstwo na poziomie krajowym (partnerstwa powinny być nieformalnymi ugrupowaniami składającymi się z co najmniej dwóch różnych organizacji) oraz partnerstwo ponadnarodowe z co najmniej jednym partnerem z innego państwa członkowskiego UE;</w:t>
      </w:r>
      <w:r>
        <w:br/>
      </w:r>
      <w:r>
        <w:br/>
        <w:t>c) projekty muszą zawierać trzy etapy (przygotowanie, mobilność i kontynuację wsparcia). Na każdym etapie realizacji projektu muszą być zapewnione coaching i doradztwo;</w:t>
      </w:r>
      <w:r>
        <w:br/>
      </w:r>
      <w:r>
        <w:br/>
        <w:t>d) wszelkie koszty związane z mobilnością uczestników (np. organizacja podróży, zakwaterowanie, utrzymanie, ubezpieczenie) oraz usługi organizacji przyjmującej/ goszczącej związane z organizacją pobytu zagranicznego zostaną pokryte przez beneficjenta (np. spotkania, doradztwo i konsultacje eksperckie, tłumaczenia ustne i dokumentów, wynajem obiektów);</w:t>
      </w:r>
      <w:r>
        <w:br/>
      </w:r>
      <w:r>
        <w:br/>
        <w:t>e) każdy uczestnik ma dostęp do dodatkowego wsparcia: analizy potrzeb rozwojowych z wykorzystaniem modelu Bilansu Kompetencji (*2); identyfikacji nabytych umiejętności/kompetencji oraz wsparcia w ich walidacji i certyfikacji, możliwości założenia „Mojego portfolio (*3)” lub „Portfolio Europass (*4)”. Obowiązek zapewnienia przez Beneficjenta każdemu chętnemu uczestnikowi projektu dodatkowego wsparcia nie jest równoznaczne z zobowiązaniem uczestnika projektu do wzięcia udziału w tym wsparciu;</w:t>
      </w:r>
      <w:r>
        <w:br/>
      </w:r>
      <w:r>
        <w:br/>
        <w:t>*2. Bilans kompetencji polega na zidentyfikowaniu i przeanalizowaniu wiedzy, umiejętności i kompetencji społecznych osoby, w tym jej uzdolnień i motywacji, w celu opracowania planu rozwoju zawodowego lub dalszego uczenia się. Szczegółowe informacje znajdują się na stronie internetowej: https://walidacja.ibe.edu.pl/metody/pl/metody-walidacji/bilans-kompetencji.</w:t>
      </w:r>
      <w:r>
        <w:br/>
        <w:t>*3. Moje portfolio to narzędzie elektroniczne, które pozwala notować na bieżąco zarówno kompetencje, jak i to, co o nich świadczy (np. dyplomy, certyfikaty, odznaki, zdjęcia lub filmy, teksty, grafiki, projekty, muzyka). Szczegółowe informacje znajdują się na stronie internetowej: https://mojeportfolio.ibe.edu.pl.</w:t>
      </w:r>
      <w:r>
        <w:br/>
        <w:t>*4. Europass to zestaw narzędzi, dokumentów i informacji związanych z karierą zawodową. W skład usługi wchodzą narzędzia dostępne online: Profil Europass, Europass – CV, Europass – Mobilność, oraz Suplement do Dyplomu Szkoły Wyższej i Suplementy do Dyplomów Zawodowych. Szczegółowe informacje znajdują się na stronie internetowej: https://twoj-europass.org.pl/o-europass/.</w:t>
      </w:r>
      <w:r>
        <w:br/>
      </w:r>
      <w:r>
        <w:br/>
        <w:t xml:space="preserve">f) w ramach działań następczych należy uwzględnić uznawanie i potwierdzanie osiągnięć uczestników, w </w:t>
      </w:r>
      <w:r>
        <w:lastRenderedPageBreak/>
        <w:t>miarę możliwości w odniesieniu do kwalifikacji krajowych z wykorzystaniem zasad europejskiego systemu transferu osiągnięć w kształceniu i szkoleniu zawodowym (ECVET)(*5) oraz europejskiego poświadczenia cyfrowego w dziedzinie uczenia się (European Digital Credentials for Learning)(*6) i dokumentacji „Europass – Mobilność” (*7);</w:t>
      </w:r>
      <w:r>
        <w:br/>
      </w:r>
      <w:r>
        <w:br/>
        <w:t>*5. Europejskie poświadczenia cyfrowe w dziedzinie uczenia się to między innymi dyplomy, wykazy zaliczeń i wiele innych różnego rodzaju certyfikatów potwierdzających efekty uczenia się. Są one wielojęzyczne i opatrzone niepowtarzalną pieczęcią elektroniczną (tj. cyfrowym odpowiednikiem pieczątki instytucji). Dzięki temu instytucje oświatowe mogą łatwo ustalić autentyczność poświadczeń w dowolnym formacie i kształcie, a także zatwierdzić je i uznać. Szczegółowe informacje znajdują się na stronie internetowej: https://www.cedefop.europa.eu/pl/news/ecvet-toolkit.</w:t>
      </w:r>
      <w:r>
        <w:br/>
        <w:t>*6. https://europass.europa.eu/pl/narzedzia-europass/cyfrowe-poswiadczenia.</w:t>
      </w:r>
      <w:r>
        <w:br/>
        <w:t>*7. „Europass – mobilność” to dokument, który oficjalnie potwierdzi, że dany uczestnik projektu odbył staż za granicą. Szczegółowe informacje znajdują się na stronie internetowej: https://twoj-europass.org.pl/dokumenty/europass-mobilnosc/.</w:t>
      </w:r>
      <w:r>
        <w:br/>
      </w:r>
      <w:r>
        <w:br/>
        <w:t>g) nie przewiduje się możliwości rozliczania wydatków z wykorzystaniem stawek jednostkowych określonych w akcie delegowanym KE (*8);</w:t>
      </w:r>
      <w:r>
        <w:br/>
      </w:r>
      <w:r>
        <w:br/>
        <w:t>*8. Rozporządzenie delegowane Komisji (UE) 2022/2175 z dnia 5 sierpnia 2022 r., dostępne na stronie internetowej: https://eur-lex.europa.eu/legal-content/PL/TXT/?uri=CELEX%3A32022R2175.</w:t>
      </w:r>
      <w:r>
        <w:br/>
      </w:r>
      <w:r>
        <w:br/>
        <w:t xml:space="preserve">h) udzielenie wsparcia rozpoczyna się od spotkania z doradcą zawodowym w celu identyfikacji potrzeb uczestnika projektu, poprzez diagnozowanie potrzeb szkoleniowych lub walidacyjnych (potwierdzanie nabytych wcześniej kwalifikacji i kompetencji), możliwości doskonalenia zawodowego oraz opracowania lub aktualizacji Indywidualnego Planu Działania (o którym mowa w ustawie właściwej regulującej politykę rynku pracy), lub innego dokumentu pełniącego analogiczną funkcję. </w:t>
      </w:r>
      <w:r>
        <w:br/>
      </w:r>
      <w:r>
        <w:br/>
        <w:t>i) wsparcie udzielane w ramach projektów jest dostosowane do indywidualnych potrzeb uczestników projektów, wynikających z ich wiedzy, umiejętności i kompetencji oraz kwalifikacji do wykonywania danego zawodu.</w:t>
      </w:r>
      <w:r>
        <w:br/>
      </w:r>
      <w:r>
        <w:br/>
        <w:t>j) wsparcie poprzedzone będzie oceną umiejętności cyfrowych (*9) oraz - w razie potrzeby - propozycją uzupełnienia ich poziomu z uwzględnieniem możliwości psychofizycznych danej osoby;</w:t>
      </w:r>
      <w:r>
        <w:br/>
      </w:r>
      <w:r>
        <w:br/>
        <w:t>*9. Z wykorzystaniem „Europejskiego narzędzia do oceny poziomu kompetencji cyfrowych”: https://europa.eu/europass/digitalskills/screen/home?lang=pl lub innego narzędzia rekomendowanego i udostępnionego przez ministra właściwego do spraw pracy albo innego narzędzia służącego ocenie kompetencji cyfrowych, jakim dysponuje Wnioskodawca.</w:t>
      </w:r>
      <w:r>
        <w:br/>
      </w:r>
      <w:r>
        <w:br/>
        <w:t xml:space="preserve"> k) w trakcie identyfikacji potrzeb uczestników projektu szczególny nacisk powinien zostać położony na: umiejętności cyfrowe, umiejętności niezbędne do podjęcia pracy w sektorze zielonej gospodarki, </w:t>
      </w:r>
      <w:r>
        <w:lastRenderedPageBreak/>
        <w:t>umiejętności niezbędne z punktu widzenia regionalnych/ lokalnych specjalizacji, umiejętności niezbędne w zawodach związanych z usługami zdrowotnymi i opiekuńczymi;</w:t>
      </w:r>
      <w:r>
        <w:br/>
      </w:r>
      <w:r>
        <w:br/>
        <w:t>l) efektem wsparcia w postaci szkolenia będzie nabycie kwalifikacji lub kompetencji, które będzie weryfikowane i potwierdzane zgodnie z zasadami wskazanymi w załączniku nr 2 do wytycznych ministra właściwego do spraw rozwoju regionalnego dotyczących monitorowania postępu rzeczowego realizacji programów na lata 2021–2027;</w:t>
      </w:r>
      <w:r>
        <w:br/>
      </w:r>
      <w:r>
        <w:br/>
        <w:t>m) w ramach projektów realizowanych przez PUP oraz OHP, wszystkie działania będą zgodnie z zasadami określonymi w Planie realizacji Gwarancji dla młodzieży w Polsce. Aktualizacja z 2022 r. z dnia 1 sierpnia 2022 r.;</w:t>
      </w:r>
      <w:r>
        <w:br/>
      </w:r>
      <w:r>
        <w:br/>
        <w:t>n) wsparcie w projekcie musi być zgodne z regułami określonymi do projektów realizowanych w ramach CS lit. a, w Podrozdziale 3.1 Wytycznych dotyczących realizacji projektów z udziałem środków Europejskiego Funduszu Społecznego Plus w regionalnych programach na lata 2021–2027</w:t>
      </w:r>
      <w:r w:rsidR="002D509E">
        <w:t xml:space="preserve"> </w:t>
      </w:r>
      <w:r>
        <w:t>oraz w Podrozdziale 3.4 ww. Wytycznych.</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0F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F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F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F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0F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F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0F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F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0F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F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0F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02C50F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0F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F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0F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0F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0F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F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F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F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F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F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Przedsiębiorstwa realizujące cele publiczne, Służby publiczne</w:t>
      </w:r>
    </w:p>
    <w:p w14:paraId="02C50F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F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Centra aktywności lokalnej, Duże przedsiębiorstwa, Inne podmioty systemu szkolnictwa wyższego i nauki, Instytucje finansowe, Instytucje integracji i pomocy społecznej, Instytucje otoczenia biznesu, Instytucje rynku pracy, Izby gospodarcze, Jednostki organizacyjne działające w imieniu jednostek samorządu terytorialnego, Jednostki Samorządu Terytorialnego, Klastry, Kościoły i związki wyznaniowe, Lokalne Grupy Działania, MŚP, Niepubliczne podmioty integracji i pomocy społecznej, Organizacje pozarządowe, Organizacje zrzeszające pracodawców, Ośrodki innowacji, Ośrodki kształcenia dorosłych, Partnerstwa instytucji pozarządowych, Partnerstwa Publiczno-Prywatne, Partnerzy gospodarczy, Podmioty ekonomii społecznej, Podmioty świadczące usługi publiczne w ramach realizacji obowiązków własnych jednostek samorządu terytorialnego, Samorządy zawodowe, Szkoły i inne placówki systemu oświaty, Uczelnie, Związki zawodowe</w:t>
      </w:r>
    </w:p>
    <w:p w14:paraId="02C50F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0F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adresaci inicjatywy ALMA, osoby bez zatrudnienia, osoby młode w wieku 15-24 lat znajdujące się w niekorzystnej sytuacji na rynku pracy, w tym osoby bierne zawodowo, osoby młode w wieku 18-29, pozostające bez pracy (w tym NEET), osoby młode, w wieku od 15 roku życia, wspierane przez ochotnicze hufce pracy</w:t>
      </w:r>
    </w:p>
    <w:p w14:paraId="02C50F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F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aktywizacja_edukacyjno-zawodowa, doradztwo_zawodowe, integracja_społeczna, staże, szkolenia, wsparcie_dla_młodych</w:t>
      </w:r>
    </w:p>
    <w:p w14:paraId="02C50F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Wielkość podmiotu (w przypadku przedsiębiorstw)</w:t>
      </w:r>
    </w:p>
    <w:p w14:paraId="02C50F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0F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F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F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F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0F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0F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0F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02C50F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0F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0F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0F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02C50F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WLWK-EECO06 - Liczba osób w wieku poniżej 18 lat objętych wsparciem w programie</w:t>
      </w:r>
    </w:p>
    <w:p w14:paraId="02C50F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0F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0F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0F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02C50F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PROG-FESLO-26 - Liczba osób o niskich kwalifikacjach objętych wsparciem w programie</w:t>
      </w:r>
    </w:p>
    <w:p w14:paraId="02C50F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0F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0F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F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02C50F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0F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02C50F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2C50F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PROG-FESLR-21 - Liczba osób, które uzyskały kwalifikacje cyfrowe po opuszczeniu programu</w:t>
      </w:r>
    </w:p>
    <w:p w14:paraId="02C50F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lastRenderedPageBreak/>
        <w:t>Kod i nazwa działania</w:t>
      </w:r>
    </w:p>
    <w:p w14:paraId="02C50FB8"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3" w:name="_Toc235079781"/>
      <w:r>
        <w:rPr>
          <w:rFonts w:ascii="Calibri" w:hAnsi="Calibri" w:cs="Calibri"/>
          <w:sz w:val="32"/>
        </w:rPr>
        <w:t>Działanie FESL.05.04 Aktywizacja zawodowa osób pracujących</w:t>
      </w:r>
      <w:bookmarkEnd w:id="43"/>
    </w:p>
    <w:p w14:paraId="02C50F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F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02C50F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0F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0F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F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12 549 019,00</w:t>
      </w:r>
    </w:p>
    <w:p w14:paraId="02C50F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F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12 000 000,00</w:t>
      </w:r>
    </w:p>
    <w:p w14:paraId="02C50F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F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134 - Działania na rzecz poprawy dostępu do zatrudnienia, 136 - Wsparcie szczególne na rzecz zatrudnienia ludzi młodych i integracji społeczno-gospodarczej ludzi młodych</w:t>
      </w:r>
    </w:p>
    <w:p w14:paraId="02C50F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0FC4" w14:textId="10549059"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Działanie skierowane do osób pracujących zatrudnionych na podstawie umów krótkoterminowych, umów cywilnoprawnych, ubogich pracujących, jak również odchodzących z rolnictwa.</w:t>
      </w:r>
      <w:r>
        <w:br/>
      </w:r>
      <w:r>
        <w:br/>
        <w:t>Typy projektów:</w:t>
      </w:r>
      <w:r>
        <w:br/>
      </w:r>
      <w:r>
        <w:br/>
        <w:t>1. Nabywanie, podwyższanie lub dostosowywanie kompetencji i kwalifikacji, niezbędnych na rynku pracy w kontekście zidentyfikowanych potrzeb osoby, której udzielane jest wsparcie, przede wszystkim poprzez wysokiej jakości szkolenia i kursy (w tym kwalifikacje rynkowe włączone do Zintegrowanego Systemu Kwalifikacji).</w:t>
      </w:r>
      <w:r>
        <w:br/>
      </w:r>
      <w:r>
        <w:br/>
        <w:t>Obligatoryjne warunki wsparcia:</w:t>
      </w:r>
      <w:r w:rsidR="002D509E">
        <w:t xml:space="preserve"> </w:t>
      </w:r>
      <w:r>
        <w:br/>
      </w:r>
      <w:r>
        <w:br/>
        <w:t xml:space="preserve">Każde wsparcie rozpoczyna się od identyfikacji potrzeb uczestnika projektu, poprzez diagnozowanie potrzeb szkoleniowych lub walidacyjnych (potwierdzanie nabytych wcześniej kwalifikacji i kompetencji) oraz opracowania lub aktualizacji Indywidualnego Planu Działania, o którym mowa w ustawie właściwej </w:t>
      </w:r>
      <w:r>
        <w:lastRenderedPageBreak/>
        <w:t>regulującej politykę rynku pracy, lub innego dokumentu pełniącego analogiczną funkcję</w:t>
      </w:r>
      <w:r w:rsidR="002D509E">
        <w:t xml:space="preserve"> </w:t>
      </w:r>
      <w:r>
        <w:t>.</w:t>
      </w:r>
      <w:r>
        <w:br/>
      </w:r>
      <w:r>
        <w:br/>
        <w:t>W trakcie wykonywania oceny, uwzględnione zostaną możliwości psychofizyczne danej osoby. Szczególny</w:t>
      </w:r>
      <w:r w:rsidR="002D509E">
        <w:t xml:space="preserve"> </w:t>
      </w:r>
      <w:r>
        <w:t>nacisk powinien zostać położony na: umiejętności cyfrowe oraz umiejętności niezbędne do podjęcia pracy w sektorze zielonej gospodarki; umiejętności niezbędne z punktu widzenia regionalnych/lokalnych specjalizacji; umiejętności niezbędne w zawodach związanych z usługami zdrowotnymi i opiekuńczymi.</w:t>
      </w:r>
      <w:r>
        <w:br/>
      </w:r>
      <w:r>
        <w:br/>
        <w:t>Aby wykluczyć występowanie pomocy publicznej szkolenia muszą odbywać się z własnej inicjatywy uczestnika, poza godzinami pracy, a wszystkie podmioty biorące udział w realizacji projektu muszą być niezależne od pracodawcy uczestnika usługi. Szkolenia muszą odbywać się poza miejscem pracy uczestników, a rekrutacja do projektu musi być otwarta dla wszystkich zainteresowanych. Szkolenia w projekcie nie mogą dotyczyć obowiązkowych szkoleń wynikających z przepisów prawa.</w:t>
      </w:r>
      <w:r w:rsidR="002D509E">
        <w:t xml:space="preserve"> </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p>
    <w:p w14:paraId="02C50F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0F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0F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0F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89</w:t>
      </w:r>
    </w:p>
    <w:p w14:paraId="02C50F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0F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02C50F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0F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0F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0F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0F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0F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Dotacja</w:t>
      </w:r>
    </w:p>
    <w:p w14:paraId="02C50F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0F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0F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0F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0F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0F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0F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0F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Służby publiczne</w:t>
      </w:r>
    </w:p>
    <w:p w14:paraId="02C50F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0F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Centra aktywności lokalnej, Instytucje otoczenia biznesu, Instytucje rynku pracy, Izby gospodarcze, Jednostki organizacyjne działające w imieniu jednostek samorządu terytorialnego, Jednostki Samorządu Terytorialnego, MŚP, Organizacje pozarządowe, Organizacje zrzeszające pracodawców, Ośrodki kształcenia dorosłych, Podmioty świadczące usługi publiczne w ramach realizacji obowiązków własnych jednostek samorządu terytorialnego, Samorządy zawodowe, Związki zawodowe</w:t>
      </w:r>
    </w:p>
    <w:p w14:paraId="02C50F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0F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aktywizacja_edukacyjno-zawodowa, doradztwo_zawodowe, kompetencje, kompetencje_cyfrowe, kompetencje_zawodowe, kształcenie_dorosłych, kwalifikacje, równość_kobiet_i_mężczyzn, równość_szans, rynek_pracy</w:t>
      </w:r>
    </w:p>
    <w:p w14:paraId="02C50F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0F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0F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0F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0F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0F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0F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0F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0F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0F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WLWK-EECO16 - Liczba osób w kryzysie bezdomności lub dotkniętych wykluczeniem z dostępu do mieszkań, objętych wsparciem w programie</w:t>
      </w:r>
    </w:p>
    <w:p w14:paraId="02C50F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02C50FE8" w14:textId="3EB513A1"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w:t>
      </w:r>
      <w:r w:rsidR="002D509E">
        <w:t xml:space="preserve"> </w:t>
      </w:r>
      <w:r>
        <w:t>objętych wsparciem w programie</w:t>
      </w:r>
    </w:p>
    <w:p w14:paraId="02C50F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0F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0F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0F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PROG-FESLO-26 - Liczba osób o niskich kwalifikacjach objętych wsparciem w programie</w:t>
      </w:r>
    </w:p>
    <w:p w14:paraId="02C50F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0F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0F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0F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02C50F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0F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PROG-FESLR-21 - Liczba osób, które uzyskały kwalifikacje cyfrowe po opuszczeniu programu</w:t>
      </w:r>
    </w:p>
    <w:p w14:paraId="02C50F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0FF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4" w:name="_Toc235079782"/>
      <w:r>
        <w:rPr>
          <w:rFonts w:ascii="Calibri" w:hAnsi="Calibri" w:cs="Calibri"/>
          <w:sz w:val="32"/>
        </w:rPr>
        <w:t>Działanie FESL.05.05 Usługi EURES</w:t>
      </w:r>
      <w:bookmarkEnd w:id="44"/>
    </w:p>
    <w:p w14:paraId="02C50F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0F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02C50F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0F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0F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0F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165 000,00</w:t>
      </w:r>
    </w:p>
    <w:p w14:paraId="02C50F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0F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165 000,00</w:t>
      </w:r>
    </w:p>
    <w:p w14:paraId="02C50F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0F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141 - Wsparcie na rzecz mobilności pracowników</w:t>
      </w:r>
    </w:p>
    <w:p w14:paraId="02C50F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lastRenderedPageBreak/>
        <w:t>Opis działania</w:t>
      </w:r>
    </w:p>
    <w:p w14:paraId="02C51000" w14:textId="03B19499"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Interwencja ukierunkowanych schematów mobilności transnarodowej (USMT) w ramach sieci EURES obejmować będzie następujące cele:</w:t>
      </w:r>
      <w:r>
        <w:br/>
      </w:r>
      <w:r>
        <w:br/>
        <w:t>a) wspieranie polskich bezrobotnych i poszukujących pracy ze zidentyfikowanych sektorów rynku pracy, branż, zawodów lub kompetencji, w których występuje nadwyżka lub równowaga na wojewódzkim rynku pracy, również poprzez możliwość zdobycia kwalifikacji lub nabycia kompetencji, w znalezieniu zatrudnienia za granicą w państwach UE;</w:t>
      </w:r>
      <w:r>
        <w:br/>
      </w:r>
      <w:r>
        <w:br/>
        <w:t>b) wspieranie Polaków przebywających za granicą na terenie państw UE lub Polaków, którzy w okresie ostatniego roku powrócili do Polski z innych państw</w:t>
      </w:r>
      <w:r>
        <w:br/>
        <w:t>UE, ze zidentyfikowanych sektorów rynku pracy, branż, zawodów lub kompetencji, w których występuje deficyt potencjalnych pracowników lub ich równowaga na wojewódzkim rynku pracy, w znalezieniu zatrudnienia w Polsce;</w:t>
      </w:r>
      <w:r>
        <w:br/>
      </w:r>
      <w:r>
        <w:br/>
        <w:t>c) wspieranie polskich pracodawców w rekrutacji i zatrudnieniu pracowników (bezrobotnych lub poszukujących pracy) przebywających za granicą w państwach UE (dotyczy to zarówno cudzoziemców będących obywatelami tych państw jak i Polaków przebywających za granicą na terenie tych państw oraz Polaków, którzy w okresie ostatniego roku powrócili do Polski z innych państw UE) ze zidentyfikowanych sektorów rynku pracy, branż, zawodów lub kompetencji, w których występuje deficyt potencjalnych pracowników lub ich równowaga na wojewódzkim rynku pracy.</w:t>
      </w:r>
      <w:r>
        <w:br/>
      </w:r>
      <w:r>
        <w:br/>
        <w:t>Wsparcie realizowane będzie poprzez:</w:t>
      </w:r>
      <w:r>
        <w:br/>
      </w:r>
      <w:r>
        <w:br/>
        <w:t>1) każdą z usług wsparcia wymienionych w rozdziale IV rozporządzenia Parlamentu Europejskiego i Rady (UE) 2016/589 z dnia 13 kwietnia 2016 r. w sprawie</w:t>
      </w:r>
      <w:r w:rsidR="002D509E">
        <w:t xml:space="preserve"> </w:t>
      </w:r>
      <w:r>
        <w:t xml:space="preserve">europejskiej sieci służb zatrudnienia (EURES), dostępu pracowników do usług w zakresie mobilności i dalszej integracji rynków pracy, oraz zmiany rozporządzeń (UE) nr 492/2011 i (UE) nr 1296/2013; tj. </w:t>
      </w:r>
      <w:r>
        <w:br/>
        <w:t>a)</w:t>
      </w:r>
      <w:r>
        <w:tab/>
        <w:t xml:space="preserve">dostęp do podstawowych informacji na temat portalu EURES; </w:t>
      </w:r>
      <w:r>
        <w:br/>
        <w:t>b)</w:t>
      </w:r>
      <w:r>
        <w:tab/>
        <w:t>usługi wsparcia dla pracowników;</w:t>
      </w:r>
      <w:r>
        <w:br/>
        <w:t>c)</w:t>
      </w:r>
      <w:r>
        <w:tab/>
        <w:t>usługi wsparcia dla pracodawców;</w:t>
      </w:r>
      <w:r>
        <w:br/>
        <w:t>d)</w:t>
      </w:r>
      <w:r>
        <w:tab/>
        <w:t>pomoc po rekrutacji;</w:t>
      </w:r>
      <w:r>
        <w:br/>
        <w:t>e)</w:t>
      </w:r>
      <w:r>
        <w:tab/>
        <w:t>ułatwiony dostęp do informacji o opodatkowaniu, kwestiach związanych z umową o pracę, uprawnieniach emerytalno-rentowych, ubezpieczeniu zdrowotnym,</w:t>
      </w:r>
      <w:r w:rsidR="002D509E">
        <w:t xml:space="preserve"> </w:t>
      </w:r>
      <w:r>
        <w:t>zabezpieczeniu społecznym i aktywnych formach pomocy;</w:t>
      </w:r>
      <w:r>
        <w:br/>
        <w:t>f)</w:t>
      </w:r>
      <w:r>
        <w:tab/>
        <w:t xml:space="preserve">usługi wsparcia w regionach transgranicznych; </w:t>
      </w:r>
      <w:r>
        <w:br/>
        <w:t>g)</w:t>
      </w:r>
      <w:r>
        <w:tab/>
        <w:t>dostęp do aktywnych instrumentów rynku pracy.</w:t>
      </w:r>
      <w:r>
        <w:br/>
      </w:r>
      <w:r>
        <w:br/>
        <w:t>2) pośrednictwo pracy w ramach sieci EURES, o którym mowa w ustawie właściwej regulującej politykę rynku pracy.</w:t>
      </w:r>
      <w:r>
        <w:br/>
      </w:r>
      <w:r>
        <w:lastRenderedPageBreak/>
        <w:br/>
        <w:t>3) inne działania i instrumenty na rzecz grup docelowych projektu (np. sfinansowanie kosztów dojazdu czy zapewnienie środków na zasiedlenie w formie dodatku relokacyjnego), których charakter powinien zapewniać realizację celów wymienionych w części „Opis działania ”, w tym obsadzania wolnych miejsc pracy w tych obszarach rynku pracy, w których zidentyfikowano braki.</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p>
    <w:p w14:paraId="02C510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0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0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0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0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0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10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0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0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0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10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0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0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0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0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0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0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0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Niekonkurencyjny</w:t>
      </w:r>
    </w:p>
    <w:p w14:paraId="02C510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0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0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0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02C510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0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w:t>
      </w:r>
    </w:p>
    <w:p w14:paraId="02C510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0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migranci powrotni, osoby bezrobotne i poszukujące pracy, pracodawcy</w:t>
      </w:r>
    </w:p>
    <w:p w14:paraId="02C510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0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aktywizacja_zawodowa, EURES, migracje_zarobkowe, szkolenia, zatrudnienie</w:t>
      </w:r>
    </w:p>
    <w:p w14:paraId="02C510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0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0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0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0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10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10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0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0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0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0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0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0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0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0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0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WLWK-EECR04 - Liczba osób pracujących, łącznie z prowadzącymi działalność na własny rachunek, po opuszczeniu programu</w:t>
      </w:r>
    </w:p>
    <w:p w14:paraId="02C510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02E"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5" w:name="_Toc235079783"/>
      <w:r>
        <w:rPr>
          <w:rFonts w:ascii="Calibri" w:hAnsi="Calibri" w:cs="Calibri"/>
          <w:sz w:val="32"/>
        </w:rPr>
        <w:t>Działanie FESL.05.06 Szkolenia dla pracowników IRP</w:t>
      </w:r>
      <w:bookmarkEnd w:id="45"/>
    </w:p>
    <w:p w14:paraId="02C510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0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EFS+.CP4.B -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p w14:paraId="02C510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0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0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0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1 787 461,00</w:t>
      </w:r>
    </w:p>
    <w:p w14:paraId="02C510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0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1 787 461,00</w:t>
      </w:r>
    </w:p>
    <w:p w14:paraId="02C510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0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139 - Działania na rzecz modernizacji i wzmocnienia instytucji i służb rynku pracy celem oceny i przewidywania zapotrzebowania na umiejętności oraz zapewnienia terminowej i dopasowanej do potrzeb pomocy, 140 - Wsparcie na rzecz dostosowania umiejętności i kwalifikacji zawodowych do potrzeb rynku pracy oraz na rzecz przepływów na rynku pracy</w:t>
      </w:r>
    </w:p>
    <w:p w14:paraId="02C510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0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Interwencja obejmować będzie instytucjonalne wsparcie na rzecz modernizacji i doskonalenia potencjału Podmiotów Rynku Pracy, w szczególności Publicznych Służb Zatrudnienia, skutkujące:</w:t>
      </w:r>
      <w:r>
        <w:br/>
      </w:r>
      <w:r>
        <w:br/>
        <w:t>a) podniesieniem kwalifikacji i kompetencji pracowników podmiotów (również w zakresie zielonych i cyfrowych kompetencji), co przyczyni się do podniesienia jakości świadczonych usług oraz do skutecznego ukierunkowania polityki rynku pracy, wynikającej z regionalnych i lokalnych potrzeb;</w:t>
      </w:r>
      <w:r>
        <w:br/>
      </w:r>
      <w:r>
        <w:br/>
        <w:t>b) zaopatrzeniem podmiotów w narzędzia oraz zasoby umożliwiające skuteczną realizację wysokiej jakości usług;</w:t>
      </w:r>
      <w:r>
        <w:br/>
      </w:r>
      <w:r>
        <w:br/>
        <w:t xml:space="preserve">c) aktywizacją niewykorzystanych zasobów pracy, poprzez dotarcie i zachęcenie do aktywności tych grup docelowych (często mieszkańców wsi i małych miast) poprzez zapewnienie wysokiej jakości kompetencji </w:t>
      </w:r>
      <w:r>
        <w:lastRenderedPageBreak/>
        <w:t>i umiejętności pracowników bezpośrednio zajmujących się obsługą klientów Podmiotów Rynku Pracy.</w:t>
      </w:r>
      <w:r>
        <w:br/>
      </w:r>
      <w:r>
        <w:br/>
        <w:t>Interwencja obejmować będzie również wzmacnianie potencjału instytucjonalnego partnerów społecznych (instytucji dialogu społecznego) poprzez działania podnoszące kwalifikacje i kompetencje pracowników i członków podmiotów uczestniczących w dialogu społecznym, zgodnie z art 8 Rozporządzenia 2021/1060 z dnia 24 czerwca 2021 r.</w:t>
      </w:r>
      <w:r>
        <w:br/>
        <w:t xml:space="preserve"> </w:t>
      </w:r>
      <w:r>
        <w:br/>
        <w:t>Wsparcie w ramach Działania adresowane jest do podmiotów z terenu województwa śląskiego.</w:t>
      </w:r>
      <w:r>
        <w:br/>
      </w:r>
      <w:r>
        <w:br/>
        <w:t>Projekty mogą być realizowane w formule partnerskiej, zgodnie z art. 39 „Ustawy z dnia 28 kwietnia 2022 r. o zasadach realizacji zadań finansowanych ze środków europejskich w perspektywie finansowej 2021–2027”.</w:t>
      </w:r>
      <w:r>
        <w:br/>
      </w:r>
      <w:r>
        <w:br/>
        <w:t>Typy projektów:</w:t>
      </w:r>
      <w:r>
        <w:br/>
      </w:r>
      <w:r>
        <w:br/>
        <w:t>Wsparcie realizowane będzie poprzez:</w:t>
      </w:r>
      <w:r>
        <w:br/>
      </w:r>
      <w:r>
        <w:br/>
        <w:t>Typ 1: wsparcie dla Podmiotów Rynku Pracy :</w:t>
      </w:r>
      <w:r>
        <w:br/>
      </w:r>
      <w:r>
        <w:br/>
        <w:t>- zastosowanie działań wzmacniających potencjał Podmiotów Rynku Pracy w zakresie podnoszenia kwalifikacji/kompetencji kadr m.in. poprzez szkolenia, kursy, studia podyplomowe, mentoring, wizyty studyjne, warsztaty, konferencje;</w:t>
      </w:r>
      <w:r>
        <w:br/>
      </w:r>
      <w:r>
        <w:br/>
        <w:t xml:space="preserve">- zastosowanie działań wzmacniających potencjał organizacyjny Podmiotów Rynku Pracy poprzez m.in. doradztwo, usługi prawne; </w:t>
      </w:r>
      <w:r>
        <w:br/>
      </w:r>
      <w:r>
        <w:br/>
        <w:t>- zastosowanie działań wzmacniających potencjał techniczny i organizacyjny Podmiotów Rynku Pracy poprzez zakup sprzętu i wyposażenia umożliwiającego lepszą komunikację i wymianę informacji.</w:t>
      </w:r>
      <w:r>
        <w:br/>
      </w:r>
      <w:r>
        <w:br/>
        <w:t>Wsparcie dotyczy również Wojewódzkiego Urzędu Pracy w Katowicach.</w:t>
      </w:r>
      <w:r>
        <w:br/>
      </w:r>
      <w:r>
        <w:br/>
        <w:t>Typ 2: wsparcie dla partnerów społecznych, o których mowa w art. 8 Rozporządzenia 2021/1060, tj. instytucji i podmiotów dialogu obywatelskiego - organizacji reprezentujących interesy pracowników i pracodawców:</w:t>
      </w:r>
      <w:r>
        <w:br/>
      </w:r>
      <w:r>
        <w:br/>
        <w:t>- zastosowanie działań podnoszących kwalifikacje i kompetencje pracowników i członków podmiotów uczestniczących w dialogu społecznym, poprzez m.in.: szkolenia, kształcenie i rozwój kadr, budowanie sieci współpracy, niezbędne wyposażenie, wzmacnianie roli organizacji w dialogu społecznym.</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lastRenderedPageBreak/>
        <w:br/>
        <w:t>Dopuszczalne będą działania na rzecz podniesienia kompetencji i świadomości w zakresie cyberbezpieczeństwa, jako uzupełnienie wsparcia zaplanowanego w tym celu szczegółowym.</w:t>
      </w:r>
      <w:r>
        <w:br/>
      </w:r>
      <w:r>
        <w:br/>
      </w:r>
    </w:p>
    <w:p w14:paraId="02C510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0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0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0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0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0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10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0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0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0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10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0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0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0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0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0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0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0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0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0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0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Typ beneficjenta – ogólny</w:t>
      </w:r>
    </w:p>
    <w:p w14:paraId="02C510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Partnerzy społeczni, Przedsiębiorstwa, Przedsiębiorstwa realizujące cele publiczne, Służby publiczne</w:t>
      </w:r>
    </w:p>
    <w:p w14:paraId="02C510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0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finansowe, Instytucje integracji i pomocy społecznej, Instytucje otoczenia biznesu, Instytucje rynku pracy, Izby gospodarcze, Jednostki organizacyjne działające w imieniu jednostek samorządu terytorialnego, Jednostki Samorządu Terytorialnego, Klastry, Kościoły i związki wyznaniowe, MŚP, Niepubliczne podmioty integracji i pomocy społecznej, Organizacje pozarządowe, Organizacje zrzeszające pracodawców, Ośrodki kształcenia dorosłych, Partnerstwa instytucji pozarządowych, Partnerstwa Publiczno-Prywatne, Partnerzy gospodarczy, Podmioty ekonomii społecznej, Podmioty świadczące usługi publiczne w ramach realizacji obowiązków własnych jednostek samorządu terytorialnego, Samorządy zawodowe, Szkoły i inne placówki systemu oświaty, Uczelnie, Związki zawodowe</w:t>
      </w:r>
    </w:p>
    <w:p w14:paraId="02C510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0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dialog_społeczny, instytucje_rynku_pracy, konferencje, PSZ, studia_podyplomowe, wzmacnianie_potencjału_społecznego</w:t>
      </w:r>
    </w:p>
    <w:p w14:paraId="02C510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0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0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0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0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0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0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0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WLWK-PL0CO08 - Liczba organizacji partnerów społecznych objętych wsparciem</w:t>
      </w:r>
    </w:p>
    <w:p w14:paraId="02C510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0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0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0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0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0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WLWK-EECO12 - Liczba osób z niepełnosprawnościami objętych wsparciem w programie</w:t>
      </w:r>
    </w:p>
    <w:p w14:paraId="02C510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WLWK-PLBCO01 - Liczba pracowników instytucji rynku pracy objętych wsparciem w programie</w:t>
      </w:r>
    </w:p>
    <w:p w14:paraId="02C510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0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WLWK-PL0CO09 - Liczba przedstawicieli organizacji partnerów społecznych objętych wsparciem</w:t>
      </w:r>
    </w:p>
    <w:p w14:paraId="02C510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PROG-FESLO-02 - Wartość wydatków kwalifikowalnych przeznaczonych na budowanie potencjału organizacji pozarządowych lub partnerów społecznych</w:t>
      </w:r>
    </w:p>
    <w:p w14:paraId="02C510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0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WLWK-PL0CR04 - Liczba organizacji partnerów społecznych, które zwiększyły swój potencjał</w:t>
      </w:r>
    </w:p>
    <w:p w14:paraId="02C510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0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WLWK-PL0CR05 - Liczba przedstawicieli organizacji partnerów społecznych, którzy podnieśli kompetencje</w:t>
      </w:r>
    </w:p>
    <w:p w14:paraId="02C510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06C"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6" w:name="_Toc235079784"/>
      <w:r>
        <w:rPr>
          <w:rFonts w:ascii="Calibri" w:hAnsi="Calibri" w:cs="Calibri"/>
          <w:sz w:val="32"/>
        </w:rPr>
        <w:t>Działanie FESL.05.07 Opracowanie modelu prognozowania i monitorowania zmian na rynku pracy</w:t>
      </w:r>
      <w:bookmarkEnd w:id="46"/>
    </w:p>
    <w:p w14:paraId="02C510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0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EFS+.CP4.B -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p w14:paraId="02C510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0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0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0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378 202,00</w:t>
      </w:r>
    </w:p>
    <w:p w14:paraId="02C510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0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378 202,00</w:t>
      </w:r>
    </w:p>
    <w:p w14:paraId="02C510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0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140 - Wsparcie na rzecz dostosowania umiejętności i kwalifikacji zawodowych do potrzeb rynku pracy oraz na rzecz przepływów na rynku pracy</w:t>
      </w:r>
    </w:p>
    <w:p w14:paraId="02C510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078" w14:textId="613B9545"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Interwencja obejmować będzie opracowanie modelu badań diagnostyczno-prognostycznych w zakresie brakujących kompetencji/umiejętności w branżach strategicznych i administracji publicznej województwa śląskiego na rzecz dostosowania umiejętności i kwalifikacji zawodowych do potrzeb rynku pracy oraz szkoleń dla publicznych służb zatrudnienia.</w:t>
      </w:r>
      <w:r>
        <w:br/>
      </w:r>
      <w:r>
        <w:br/>
        <w:t>Typy projektów:</w:t>
      </w:r>
      <w:r>
        <w:br/>
      </w:r>
      <w:r>
        <w:br/>
        <w:t>1.</w:t>
      </w:r>
      <w:r>
        <w:tab/>
        <w:t>Diagnoza/badanie brakujących kompetencji (kwalifikacji/umiejętności) na śląskim rynku pracy w nowoczesnej gospodarce.</w:t>
      </w:r>
      <w:r>
        <w:br/>
      </w:r>
      <w:r>
        <w:br/>
        <w:t>2.</w:t>
      </w:r>
      <w:r>
        <w:tab/>
        <w:t xml:space="preserve">Wypracowanie list brakujących kompetencji w obszarach technologicznych i w administracji publicznej. </w:t>
      </w:r>
      <w:r>
        <w:br/>
      </w:r>
      <w:r>
        <w:br/>
        <w:t>3.</w:t>
      </w:r>
      <w:r w:rsidR="002D509E">
        <w:t xml:space="preserve"> </w:t>
      </w:r>
      <w:r>
        <w:t>Przygotowanie szkoleń dla pracowników administracji publicznej w oparciu o wypracowaną listę brakujących kompetencji oraz ustawę Pzp, tj.:</w:t>
      </w:r>
      <w:r>
        <w:br/>
      </w:r>
      <w:r>
        <w:br/>
      </w:r>
      <w:r w:rsidR="002D509E">
        <w:t xml:space="preserve"> </w:t>
      </w:r>
      <w:r>
        <w:t>- opracowanie tematyki szkoleń na podstawie wyników badania,</w:t>
      </w:r>
      <w:r>
        <w:br/>
      </w:r>
      <w:r w:rsidR="002D509E">
        <w:t xml:space="preserve"> </w:t>
      </w:r>
      <w:r>
        <w:t>- dokonanie wyboru wykonawcy/wykonawców szkoleń w oparciu o ustawę Pzp.</w:t>
      </w:r>
      <w:r>
        <w:br/>
      </w:r>
      <w:r>
        <w:br/>
        <w:t>4.</w:t>
      </w:r>
      <w:r>
        <w:tab/>
        <w:t>Realizacja szkoleń dla pracowników publicznych służb zatrudnienia zgodnie z wynikami badania dla obszaru administracja publiczna.</w:t>
      </w:r>
      <w:r>
        <w:br/>
      </w:r>
      <w:r>
        <w:br/>
        <w:t>5.</w:t>
      </w:r>
      <w:r>
        <w:tab/>
        <w:t>Zaprojektowanie i uruchomienie strony internetowej z informacjami o projekcie dla pracowników służb zatrudnienia oraz wszystkich zainteresowanych prognozą zapotrzebowania na kompetencje na śląskim rynku pracy.</w:t>
      </w:r>
      <w:r>
        <w:br/>
      </w:r>
      <w:r>
        <w:br/>
        <w:t>Przedsięwzięcie planowane do realizacji w ramach działania jest ujęte w załączniku do Kontraktu Programowego dla Województwa Śląskiego.</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0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0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0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0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0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02C510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0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0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0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0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10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0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0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0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0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0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0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0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0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0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02C510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0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w:t>
      </w:r>
    </w:p>
    <w:p w14:paraId="02C510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0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badania, budowa_kompetencji, dokształcanie, dopasowanie_do_rynku_pracy, kompetencje, kwalifikacje, rynek_pracy</w:t>
      </w:r>
    </w:p>
    <w:p w14:paraId="02C510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0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0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0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0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0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0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WLWK-EECO15 - Liczba osób należących do mniejszości, w tym społeczności marginalizowanych takich jak Romowie, objętych wsparciem w programie</w:t>
      </w:r>
    </w:p>
    <w:p w14:paraId="02C510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0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0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0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0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WLWK-PLBCO01 - Liczba pracowników instytucji rynku pracy objętych wsparciem w programie</w:t>
      </w:r>
    </w:p>
    <w:p w14:paraId="02C510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0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0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0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0A1"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7" w:name="_Toc235079785"/>
      <w:r>
        <w:rPr>
          <w:rFonts w:ascii="Calibri" w:hAnsi="Calibri" w:cs="Calibri"/>
          <w:sz w:val="32"/>
        </w:rPr>
        <w:t>Działanie FESL.05.08 Budowanie sieci współpracy międzyinstytucjonalnej i promocji w zakresie poradnictwa zawodowego</w:t>
      </w:r>
      <w:bookmarkEnd w:id="47"/>
    </w:p>
    <w:p w14:paraId="02C510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0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EFS+.CP4.B -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p w14:paraId="02C510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0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0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0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834 337,00</w:t>
      </w:r>
    </w:p>
    <w:p w14:paraId="02C510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0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834 337,00</w:t>
      </w:r>
    </w:p>
    <w:p w14:paraId="02C510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0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140 - Wsparcie na rzecz dostosowania umiejętności i kwalifikacji zawodowych do potrzeb rynku pracy oraz na rzecz przepływów na rynku pracy</w:t>
      </w:r>
    </w:p>
    <w:p w14:paraId="02C510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0AD" w14:textId="391ADC44"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Celem wsparcia jest stworzenie sieci współpracy międzyinstytucjonalnej w zakresie poradnictwa zawodowego (sektor oświaty, szkoły wyższe, sektor pracy, inne instytucje realizujące zadania z zakresu poradnictwa zawodowego).</w:t>
      </w:r>
      <w:r>
        <w:br/>
      </w:r>
      <w:r>
        <w:br/>
        <w:t>Wsparcie jest skierowane do doradców zawodowych oraz różnych instytucji realizujących zadania z zakresu poradnictwa zawodowego.</w:t>
      </w:r>
      <w:r>
        <w:br/>
      </w:r>
      <w:r>
        <w:br/>
        <w:t>Typy projektów:</w:t>
      </w:r>
      <w:r>
        <w:br/>
      </w:r>
      <w:r>
        <w:br/>
        <w:t xml:space="preserve">1. Stworzenie systemu wymiany informacji pomiędzy instytucjami, w tym określenie zasad współpracy międzyinstytucjonalnej podczas realizacji działań z zakresu poradnictwa zawodowego skierowanych do różnych grup odbiorców. </w:t>
      </w:r>
      <w:r>
        <w:br/>
      </w:r>
      <w:r>
        <w:br/>
        <w:t>2. Opracowanie międzyinstytucjonalnego systemu wsparcia z zakresu poradnictwa zawodowego w woj. śląskim – w postaci standardów postępowania w pracy z różnymi grupami odbiorców.</w:t>
      </w:r>
      <w:r>
        <w:br/>
      </w:r>
      <w:r>
        <w:br/>
        <w:t>3. Stworzenie platformy internetowej służącej wymianie informacji, kontaktu z klientem oraz zawierającej narzędzia do określania predyspozycji zawodowych.</w:t>
      </w:r>
      <w:r>
        <w:br/>
      </w:r>
      <w:r>
        <w:br/>
        <w:t>4. Pilotaż wypracowanych rozwiązań, tj.:</w:t>
      </w:r>
      <w:r>
        <w:br/>
      </w:r>
      <w:r>
        <w:br/>
      </w:r>
      <w:r w:rsidR="002D509E">
        <w:t xml:space="preserve"> </w:t>
      </w:r>
      <w:r>
        <w:t>a.</w:t>
      </w:r>
      <w:r>
        <w:tab/>
        <w:t>Szkolenia dla doradców zawodowych realizujących zadania z zakresu poradnictwa zawodowego w różnych instytucjach,</w:t>
      </w:r>
      <w:r>
        <w:br/>
      </w:r>
      <w:r w:rsidR="002D509E">
        <w:t xml:space="preserve"> </w:t>
      </w:r>
      <w:r>
        <w:t>b.</w:t>
      </w:r>
      <w:r>
        <w:tab/>
        <w:t>Prowadzenie poradnictwa zawodowego dla różnych grup odbiorców w oparciu o wypracowane standardy, w tym z wykorzystaniem platformy internetowej.</w:t>
      </w:r>
      <w:r>
        <w:br/>
      </w:r>
      <w:r>
        <w:br/>
        <w:t>5. Szkolenia wdrożeniowe skierowane do przedstawicieli instytucji realizujących zadania z zakresu poradnictwa zawodowego, w tym projektodawców EFS.</w:t>
      </w:r>
      <w:r>
        <w:br/>
      </w:r>
      <w:r>
        <w:br/>
        <w:t>6. Przetestowanie przez partnerów projektu utworzonej regionalnej platformy internetowej z funkcjonalnością kontaktu z klientem, wymiany informacji i dobrych praktyk z doradcami zawodowymi, możliwością interaktywnego skorzystania z zasobów portalu.</w:t>
      </w:r>
      <w:r>
        <w:br/>
      </w:r>
      <w:r>
        <w:br/>
      </w:r>
      <w:r>
        <w:br/>
        <w:t>Przedsięwzięcie planowane do realizacji w ramach działania jest ujęte w załączniku do Kontraktu Programowego dla Województwa Śląskiego.</w:t>
      </w:r>
      <w:r>
        <w:br/>
      </w:r>
      <w:r>
        <w:br/>
        <w:t xml:space="preserve">Działanie będzie realizowane z uwzględnieniem zasad horyzontalnych (zgodnie z art. 9 Rozporządzenia Parlamentu Europejskiego i Rady (UE) nr 2021/1060 z dnia 24 czerwca 2021 r.), a obowiązek ich </w:t>
      </w:r>
      <w:r>
        <w:lastRenderedPageBreak/>
        <w:t>stosowania wynika z Umowy Partnerstwa, programu oraz wytycznych.</w:t>
      </w:r>
      <w:r>
        <w:br/>
      </w:r>
    </w:p>
    <w:p w14:paraId="02C510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0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0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0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0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0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0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0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0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0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10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0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0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0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0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0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0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0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0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0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02C510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0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w:t>
      </w:r>
    </w:p>
    <w:p w14:paraId="02C510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0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doradztwo_zawodowe, instytucje_rynku_pracy, modernizacja_rynku_pracy</w:t>
      </w:r>
    </w:p>
    <w:p w14:paraId="02C510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0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https://funduszeue.slaskie.pl/web/guest/kryteria-wyboru</w:t>
      </w:r>
    </w:p>
    <w:p w14:paraId="02C510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0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0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0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0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0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0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0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0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0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WLWK-PLBCO01 - Liczba pracowników instytucji rynku pracy objętych wsparciem w programie</w:t>
      </w:r>
    </w:p>
    <w:p w14:paraId="02C510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0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0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0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0D6"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8" w:name="_Toc235079786"/>
      <w:r>
        <w:rPr>
          <w:rFonts w:ascii="Calibri" w:hAnsi="Calibri" w:cs="Calibri"/>
          <w:sz w:val="32"/>
        </w:rPr>
        <w:t>Działanie FESL.05.09 EURES-T Beskydy</w:t>
      </w:r>
      <w:bookmarkEnd w:id="48"/>
    </w:p>
    <w:p w14:paraId="02C510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0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EFS+.CP4.B -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p w14:paraId="02C510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0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0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0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1 131 000,00</w:t>
      </w:r>
    </w:p>
    <w:p w14:paraId="02C510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0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1 131 000,00</w:t>
      </w:r>
    </w:p>
    <w:p w14:paraId="02C510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0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139 - Działania na rzecz modernizacji i wzmocnienia instytucji i służb rynku pracy celem oceny i przewidywania zapotrzebowania na umiejętności oraz zapewnienia terminowej i dopasowanej do potrzeb pomocy</w:t>
      </w:r>
    </w:p>
    <w:p w14:paraId="02C510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0E2" w14:textId="7C75B8AA"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 xml:space="preserve">Instytucjonalne wsparcie urzędów pracy, które umożliwi realizację m.in. takich działań jak wsparcie polskich bezrobotnych i poszukujących pracy oraz polskich pracodawców w korzystaniu z mobilności na rynku pracy w obszarach transgranicznych (przygranicznych). </w:t>
      </w:r>
      <w:r>
        <w:br/>
      </w:r>
      <w:r>
        <w:br/>
        <w:t>Planowane projekty przyczynią się do podniesienia potencjału pracowników urzędów pracy w województwie śląskim do świadczenia usług w ramach sieci EURES, co będzie miało przełożenie m.in. na zwiększoną liczbę obywateli</w:t>
      </w:r>
      <w:r w:rsidR="002D509E">
        <w:t xml:space="preserve"> </w:t>
      </w:r>
      <w:r>
        <w:t>UE/EFTA obsługiwanych przez te urzędy, w szczególności z regionów przygranicznych.</w:t>
      </w:r>
      <w:r>
        <w:br/>
      </w:r>
      <w:r>
        <w:br/>
        <w:t>Cele szczegółowe:</w:t>
      </w:r>
      <w:r>
        <w:br/>
      </w:r>
      <w:r>
        <w:br/>
        <w:t>- zaopatrzenie pracowników PUP i WUP oraz innych uprawnionych instytucji EURES-T Beskydy (OHP, związki pracodawców i związki zawodowe) w wiedzę oraz kompetencje, które umożliwią świadczenie dobrej jakości usług dla polskich bezrobotnych i poszukujących pracy oraz polskich pracodawców z terenów przygranicznych objętych działaniem Partnerstwa EURES-T Beskydy,</w:t>
      </w:r>
      <w:r>
        <w:br/>
      </w:r>
      <w:r>
        <w:br/>
        <w:t xml:space="preserve">- zaopatrzenie PUP i WUP oraz innych uprawnionych instytucji EURES-T Beskydy (OHP, związki pracodawców i związki zawodowe) w narzędzia i zasoby, które będą stanowić wsparcie w realizacji usług dla polskich bezrobotnych oraz poszukujących pracy i polskich pracodawców z terenów przygranicznych objętych działaniem Partnerstwa EURES-T Beskydy, tj.m.in.: </w:t>
      </w:r>
      <w:r>
        <w:br/>
      </w:r>
      <w:r>
        <w:br/>
        <w:t>1) usługi wsparcia dla bezrobotnych i poszukujących pracy:</w:t>
      </w:r>
      <w:r>
        <w:br/>
        <w:t>a) pośrednictwo pracy dla polskich bezrobotnych i poszukujących pracy za granicą w UE,</w:t>
      </w:r>
      <w:r>
        <w:br/>
        <w:t>b) targi pracy na terenie Polski, w tym Europejskie Dni Pracy,</w:t>
      </w:r>
      <w:r>
        <w:br/>
        <w:t>c) informowanie nt. warunków życia i pracy w Polsce,</w:t>
      </w:r>
      <w:r>
        <w:br/>
        <w:t>d) informowanie nt. warunków życia i pracy w UE;</w:t>
      </w:r>
      <w:r>
        <w:br/>
      </w:r>
      <w:r>
        <w:br/>
        <w:t>2) usługi wsparcia dla pracodawców , m.in.:</w:t>
      </w:r>
      <w:r>
        <w:br/>
        <w:t>a) pośrednictwo pracy dla polskich pracodawców,</w:t>
      </w:r>
      <w:r>
        <w:br/>
        <w:t>b) udział w targach pracy za granicą w UE,</w:t>
      </w:r>
      <w:r>
        <w:br/>
        <w:t>c) Europejskie Dni Pracy dla polskich pracodawców;</w:t>
      </w:r>
      <w:r>
        <w:br/>
      </w:r>
      <w:r>
        <w:br/>
      </w:r>
      <w:r>
        <w:lastRenderedPageBreak/>
        <w:t>3) współpraca przygraniczna w ramach partnerstwa transgranicznego EURES-T Beskydy;</w:t>
      </w:r>
      <w:r>
        <w:br/>
      </w:r>
      <w:r>
        <w:br/>
        <w:t>4) wymiana informacji i doświadczeń w obszarze rynku pracy w UE;</w:t>
      </w:r>
      <w:r>
        <w:br/>
      </w:r>
      <w:r>
        <w:br/>
        <w:t>5) współpraca na poziomie regionalnym z właściwymi krajowymi organizacjami oraz unijnymi sieciami w zakresie specjalistycznych porad nt. mobilności (migracji zarobkowych) na terenie UE;</w:t>
      </w:r>
      <w:r>
        <w:br/>
      </w:r>
      <w:r>
        <w:br/>
        <w:t>6) organizacja szkoleń dla WUP i PUP wspierających realizację działań EURES, m.in. szkolenia językowe (czeski, słowacki, ewent. angielski);</w:t>
      </w:r>
      <w:r>
        <w:br/>
      </w:r>
      <w:r>
        <w:br/>
        <w:t>7) działania informacyjne i komunikacyjne promujące mobilność na europejskim rynku pracy w krajach UE, m.in. kampania reklamowa EURES-T Beskydy w social mediach, internecie lub/i prasie; wykup pakietu ofert na prywatnym polskim portalu z pracą, w celu promocji usług EURES-T wśród polskich poszukujących pracy); targi pracy w formie on-line.</w:t>
      </w:r>
      <w:r>
        <w:br/>
      </w:r>
      <w:r>
        <w:br/>
        <w:t>8) badania dotyczące migracji unijnych na wojewódzkich rynkach pracy oraz badania wspierające świadczenie usług sieci EURES, w tym badania satysfakcji klienta.</w:t>
      </w:r>
      <w:r>
        <w:br/>
      </w:r>
      <w:r>
        <w:br/>
        <w:t>- wsparcie PUP, WUP oraz innych uprawnionych instytucji EURES-T Beskydy (OHP, związki pracodawców i związki zawodowe) w realizacji działań ukierunkowanych na współpracę przygraniczną w ramach Partnerstwa Transgranicznego EURES-T Beskydy.</w:t>
      </w:r>
      <w:r>
        <w:br/>
      </w:r>
      <w:r>
        <w:br/>
      </w:r>
      <w:r>
        <w:br/>
        <w:t>•</w:t>
      </w:r>
      <w:r>
        <w:tab/>
        <w:t>Typy projektów:</w:t>
      </w:r>
      <w:r>
        <w:br/>
      </w:r>
      <w:r>
        <w:br/>
        <w:t>Projekt z zakresu kompleksowego wsparcia w postaci podniesienia potencjału pracowników urzędów pracy województwa śląskiego oraz innych uprawnionych instytucji EURES-T Beskydy do świadczenia usług w ramach sieci EURES.</w:t>
      </w:r>
      <w:r>
        <w:br/>
      </w:r>
      <w:r>
        <w:br/>
        <w:t>W projektach można realizować wszystkie lub wybrane usługi i działania spośród wymienionych wyżej.</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Dopuszczalne będą działania na rzecz podniesienia kompetencji i świadomości w zakresie cyberbezpieczeństwa, jako uzupełnienie wsparcia zaplanowanego w tym celu szczegółowym.</w:t>
      </w:r>
      <w:r>
        <w:br/>
      </w:r>
      <w:r>
        <w:br/>
      </w:r>
    </w:p>
    <w:p w14:paraId="02C510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0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85</w:t>
      </w:r>
    </w:p>
    <w:p w14:paraId="02C510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0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0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0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0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0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0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0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10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0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0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0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02C510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0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0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0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0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0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02C510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0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budowa_kompetencji, dokształcanie, dopasowanie_do_rynku_pracy, kompetencje</w:t>
      </w:r>
    </w:p>
    <w:p w14:paraId="02C510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0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0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0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0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0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WLWK-EECO18 - Liczba objętych wsparciem podmiotów administracji publicznej lub służb publicznych na szczeblu krajowym, regionalnym lub lokalnym</w:t>
      </w:r>
    </w:p>
    <w:p w14:paraId="02C510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1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1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1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1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1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WLWK-PLBCO01 - Liczba pracowników instytucji rynku pracy objętych wsparciem w programie</w:t>
      </w:r>
    </w:p>
    <w:p w14:paraId="02C511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1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1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1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109"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9" w:name="_Toc235079787"/>
      <w:r>
        <w:rPr>
          <w:rFonts w:ascii="Calibri" w:hAnsi="Calibri" w:cs="Calibri"/>
          <w:sz w:val="32"/>
        </w:rPr>
        <w:t>Działanie FESL.05.10 EURES dla PSZ</w:t>
      </w:r>
      <w:bookmarkEnd w:id="49"/>
    </w:p>
    <w:p w14:paraId="02C511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1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EFS+.CP4.B -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p w14:paraId="02C511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1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1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1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1 131 000,00</w:t>
      </w:r>
    </w:p>
    <w:p w14:paraId="02C511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1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1 131 000,00</w:t>
      </w:r>
    </w:p>
    <w:p w14:paraId="02C511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1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139 - Działania na rzecz modernizacji i wzmocnienia instytucji i służb rynku pracy celem oceny i przewidywania zapotrzebowania na umiejętności oraz zapewnienia terminowej i dopasowanej do potrzeb pomocy</w:t>
      </w:r>
    </w:p>
    <w:p w14:paraId="02C511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1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Usprawnienie i unowocześnienie podmiotów i służb rynków pracy w kontekście zapotrzebowania na umiejętności i kwalifikacje zawodowe, a także w kontekście świadczenia odpowiednio dopasowanej pomocy i wsparcia na rzecz dostosowania tych umiejętności i kwalifikacji do potrzeb rynku pracy oraz na rzecz przepływów i mobilności na rynku pracy, tj. m.in.:</w:t>
      </w:r>
      <w:r>
        <w:br/>
      </w:r>
      <w:r>
        <w:br/>
        <w:t>1) usługi wsparcia dla bezrobotnych i poszukujących pracy:</w:t>
      </w:r>
      <w:r>
        <w:br/>
      </w:r>
      <w:r>
        <w:br/>
        <w:t>a) pośrednictwo pracy dla polskich bezrobotnych i poszukujących pracy za granicą w UE,</w:t>
      </w:r>
      <w:r>
        <w:br/>
        <w:t>b) targi pracy na terenie Polski, w tym Europejskie Dni Pracy,</w:t>
      </w:r>
      <w:r>
        <w:br/>
        <w:t>c) informowanie nt. warunków życia i pracy w Polsce,</w:t>
      </w:r>
      <w:r>
        <w:br/>
        <w:t>d) informowanie nt. warunków życia i pracy w UE;</w:t>
      </w:r>
      <w:r>
        <w:br/>
      </w:r>
      <w:r>
        <w:br/>
        <w:t>2) usługi wsparcia dla pracodawców , m. in.:</w:t>
      </w:r>
      <w:r>
        <w:br/>
      </w:r>
      <w:r>
        <w:br/>
        <w:t>a) pośrednictwo pracy dla polskich pracodawców,</w:t>
      </w:r>
      <w:r>
        <w:br/>
        <w:t>b) udział w targach pracy za granicą w UE,</w:t>
      </w:r>
      <w:r>
        <w:br/>
        <w:t>c) Europejskie Dni Pracy dla polskich pracodawców;</w:t>
      </w:r>
      <w:r>
        <w:br/>
      </w:r>
      <w:r>
        <w:br/>
        <w:t>3) współpraca przygraniczna;</w:t>
      </w:r>
      <w:r>
        <w:br/>
      </w:r>
      <w:r>
        <w:br/>
        <w:t>4) wymiana informacji i doświadczeń w obszarze rynku pracy w UE;</w:t>
      </w:r>
      <w:r>
        <w:br/>
      </w:r>
      <w:r>
        <w:br/>
        <w:t>5) współpraca na poziomie regionalnym z właściwymi krajowymi organizacjami oraz unijnymi sieciami w zakresie specjalistycznych porad nt. mobilności (migracji zarobkowych) na terenie UE;</w:t>
      </w:r>
      <w:r>
        <w:br/>
      </w:r>
      <w:r>
        <w:br/>
        <w:t>6) organizacja szkoleń dla WUP i PUP wspierających realizację działań EURES;</w:t>
      </w:r>
      <w:r>
        <w:br/>
      </w:r>
      <w:r>
        <w:br/>
        <w:t>7) działania informacyjne i komunikacyjne promujące mobilność na europejskim rynku pracy w krajach UE;</w:t>
      </w:r>
      <w:r>
        <w:br/>
      </w:r>
      <w:r>
        <w:br/>
        <w:t>8) badania dotyczące migracji unijnych na wojewódzkich rynkach pracy oraz badania wspierające świadczenie usług sieci EURES, w tym badania satysfakcji klienta.”.</w:t>
      </w:r>
      <w:r>
        <w:br/>
      </w:r>
      <w:r>
        <w:br/>
      </w:r>
      <w:r>
        <w:br/>
        <w:t>Typy projektów:</w:t>
      </w:r>
      <w:r>
        <w:br/>
      </w:r>
      <w:r>
        <w:br/>
        <w:t>Projekt z zakresu kompleksowego wsparcia w postaci podniesienia potencjału pracowników urzędów pracy województwa śląskiego do świadczenia usług w ramach sieci EURES.</w:t>
      </w:r>
      <w:r>
        <w:br/>
      </w:r>
      <w:r>
        <w:br/>
        <w:t>W projektach można realizować wszystkie lub wybrane usługi i działania spośród wymienionych wyżej.</w:t>
      </w:r>
      <w:r>
        <w:br/>
      </w:r>
      <w:r>
        <w:lastRenderedPageBreak/>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Dopuszczalne będą działania na rzecz podniesienia kompetencji i świadomości w zakresie cyberbezpieczeństwa, jako uzupełnienie wsparcia zaplanowanego w tym celu szczegółowym.</w:t>
      </w:r>
    </w:p>
    <w:p w14:paraId="02C511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1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1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1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1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1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1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1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1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1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11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1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1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1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02C511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1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1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1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1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1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02C511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1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budowa_kompetencji, dokształcanie, dopasowanie_do_rynku_pracy, kompetencje</w:t>
      </w:r>
    </w:p>
    <w:p w14:paraId="02C511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1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1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1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1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1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1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1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1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1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1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1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WLWK-PLBCO01 - Liczba pracowników instytucji rynku pracy objętych wsparciem w programie</w:t>
      </w:r>
    </w:p>
    <w:p w14:paraId="02C511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1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1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1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13C"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0" w:name="_Toc235079788"/>
      <w:r>
        <w:rPr>
          <w:rFonts w:ascii="Calibri" w:hAnsi="Calibri" w:cs="Calibri"/>
          <w:sz w:val="32"/>
        </w:rPr>
        <w:t>Działanie FESL.05.11 Równość szans na rynku pracy</w:t>
      </w:r>
      <w:bookmarkEnd w:id="50"/>
    </w:p>
    <w:p w14:paraId="02C511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1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EFS+.CP4.C - Wspieranie zrównoważonego pod względem płci uczestnictwa w rynku pracy, równych warunków pracy oraz lepszej równowagi między życiem zawodowym a prywatnym, w tym poprzez dostęp do przystępnej cenowo opieki nad dziećmi i osobami wymagającymi wsparcia w codziennym funkcjonowaniu</w:t>
      </w:r>
    </w:p>
    <w:p w14:paraId="02C511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1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1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1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4 470 588,00</w:t>
      </w:r>
    </w:p>
    <w:p w14:paraId="02C511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1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4 000 000,00</w:t>
      </w:r>
    </w:p>
    <w:p w14:paraId="02C511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1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142 - Działania na rzecz promowania aktywności zawodowej kobiet oraz zmniejszenia segregacji na rynku pracy ze względu na płeć</w:t>
      </w:r>
    </w:p>
    <w:p w14:paraId="02C511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148" w14:textId="1AFB842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W działaniach na rzecz równych szans kobiet i mężczyzn w obszarze zatrudnienia szczególnie istotną rolę mają rozwiązania umożliwiające pogodzenie pracy zawodowej z życiem prywatnym (work-life balance). Rozwiązania te mają znaczący wpływ na to, jak szybko po urodzeniu dziecka kobieta zdecyduje się na powrót do pracy oraz w jakim stopniu rodzic – bez względu na to czy jest kobietą czy mężczyzną – może połączyć aktywność zawodową z wychowaniem dziecka.</w:t>
      </w:r>
      <w:r>
        <w:br/>
      </w:r>
      <w:r>
        <w:br/>
        <w:t>Trudności związane z pogodzeniem życia zawodowego i prywatnego dotyczą zarówno pracownic, jak i pracowników. Niemniej jednak zdecydowanie najwięcej barier w tym zakresie doświadczają kobiety, z racji wciąż tradycyjnego modelu podziału ról społecznych w Polsce, w ramach którego to właśnie kobiety wykonują większość prac związanych z prowadzeniem domu i opieką nad dziećmi (i innymi osobami potrzebującymi wsparcia w codziennym funkcjonowaniu). Stąd też rozwiązania work-life balance powinny przede wszystkim ułatwiać kobietom aktywność zawodową. Rozwiązania te mają również wpływ na sytuację tych mężczyzn, którzy chcieliby być aktywnymi ojcami, ale przez obowiązki zawodowe nie mają takiej możliwości.</w:t>
      </w:r>
      <w:r>
        <w:br/>
      </w:r>
      <w:r>
        <w:br/>
        <w:t>Istotnym elementem realizacji celu będą również projekty umożliwiające szkolenia pracowników w celu stosowania działań eliminujących dyskryminację w miejscu pracy.</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Typy projektów:</w:t>
      </w:r>
      <w:r>
        <w:br/>
      </w:r>
      <w:r>
        <w:br/>
        <w:t>1. Szkolenia (BUR)</w:t>
      </w:r>
      <w:r>
        <w:br/>
      </w:r>
      <w:r>
        <w:br/>
        <w:t xml:space="preserve">Szkolenia dla przedsiębiorców i ich pracowników przy wykorzystaniu systemu popytowego w oparciu o BUR. W ramach interwencji realizowane będą szkolenia i doradztwo z zakresu zarządzania zasobami ludzkimi i prawa pracy, w kontekście równości szans kobiet i mężczyzn oraz zarządzania różnorodnością, równouprawnienia na rynku pracy, zapewnienia większej równowagi między życiem zawodowym a </w:t>
      </w:r>
      <w:r>
        <w:lastRenderedPageBreak/>
        <w:t>prywatnym (work-life balance), przełamywania stereotypów związanych z płcią oraz zapobiegania dyskryminacji na rynku pracy.</w:t>
      </w:r>
      <w:r>
        <w:br/>
        <w:t>Wsparcie w obszarze polityki zatrudnienia i rynku pracy będzie realizowane zgodnie z warunkami określonymi w Podrozdziale 3.1. Wytycznych dotyczących realizacji projektów z udziałem środków Europejskiego Funduszu Społecznego Plus w regionalnych programach na lata 2021–2027.</w:t>
      </w:r>
      <w:r>
        <w:br/>
      </w:r>
      <w:r>
        <w:br/>
        <w:t>2. Szkolenia dla JST</w:t>
      </w:r>
      <w:r>
        <w:br/>
      </w:r>
      <w:r>
        <w:br/>
        <w:t>Szkolenia dla pracowników jednostek samorządu terytorialnego realizowane poza BUR, ale zgodne z zidentyfikowanymi potrzebami w ramach podmiotowego systemu finansowania. W ramach interwencji realizowane będą szkolenia i doradztwo z zakresu zarządzania zasobami ludzkimi i prawa pracy, w kontekście równości szans kobiet i mężczyzn oraz zarządzania różnorodnością, równouprawnienia na rynku pracy, zapewnienia większej równowagi między życiem zawodowym a prywatnym (work-life balance), przełamywania stereotypów związanych z płcią oraz zapobiegania dyskryminacji na rynku pracy.</w:t>
      </w:r>
      <w:r>
        <w:br/>
      </w:r>
      <w:r>
        <w:br/>
        <w:t>3. Szkolenia i doradztwo dla powracających na rynek pracy</w:t>
      </w:r>
      <w:r>
        <w:br/>
      </w:r>
      <w:r>
        <w:br/>
        <w:t xml:space="preserve">Szkolenia i doradztwo psychologiczne dla osób powracających na rynek pracy po przerwie związanej z opieką nad dzieckiem/osobą potrzebującą wsparcia w codziennym funkcjonowaniu. Szkolenia realizowane przy wykorzystaniu BUR. Wsparcie towarzyszące, w tym psychologiczne poza systemem BUR, ale zgodne z zidentyfikowanymi potrzebami. </w:t>
      </w:r>
      <w:r>
        <w:br/>
      </w:r>
      <w:r>
        <w:br/>
        <w:t xml:space="preserve">Działanie będzie realizowane z uwzględnieniem zasad horyzontalnych (zgodnie z art. 9 Rozporządzenia Parlamentu Europejskiego i Rady (UE) nr 2021/1060 z dnia 24 czerwca 2021 r.), a obowiązek ich stosowania wynika z Umowy Partnerstwa, programu oraz wytycznych. </w:t>
      </w:r>
      <w:r>
        <w:br/>
      </w:r>
      <w:r>
        <w:br/>
        <w:t>Wsparcie w obszarze polityki zatrudnienia i rynku pracy będzie realizowane zgodnie z warunkami określonymi w Podrozdziale 3.1. Wytycznych dotyczących realizacji projektów z udziałem środków Europejskiego Funduszu Społecznego Plus w regionalnych programach na lata 2021–2027.</w:t>
      </w:r>
      <w:r>
        <w:br/>
      </w:r>
      <w:r>
        <w:br/>
        <w:t>4. Działania wspierające równość szans na rynku pracy u pracodawców.</w:t>
      </w:r>
      <w:r>
        <w:br/>
      </w:r>
      <w:r>
        <w:br/>
        <w:t>Szkolenia dla pracowników i pracodawców realizowane poza BUR poprzedzone identyfikacją potrzeb.</w:t>
      </w:r>
      <w:r w:rsidR="002D509E">
        <w:t xml:space="preserve"> </w:t>
      </w:r>
      <w:r>
        <w:br/>
        <w:t xml:space="preserve">W ramach planowanych działań przewidziano organizację szkoleń oraz doradztwa dotyczących zarządzania zasobami ludzkimi i prawa pracy, ze szczególnym uwzględnieniem zagadnień związanych z równym traktowaniem kobiet i mężczyzn, promowaniem różnorodności, przeciwdziałaniem dyskryminacji oraz wspieraniem równowagi między życiem zawodowym, a prywatnym. </w:t>
      </w:r>
      <w:r>
        <w:br/>
        <w:t>Celem interwencji będzie również przełamywanie stereotypów płciowych oraz budowanie bardziej inkluzywnego</w:t>
      </w:r>
      <w:r>
        <w:br/>
        <w:t>rynku pracy.</w:t>
      </w:r>
      <w:r>
        <w:br/>
      </w:r>
      <w:r>
        <w:br/>
      </w:r>
      <w:r>
        <w:lastRenderedPageBreak/>
        <w:t xml:space="preserve">W ramach tego typu wsparcia możliwe będzie wdrożenie dodatkowych działań u pracodawców, mających na celu wprowadzenie rozwiązań sprzyjających równowadze między życiem zawodowym, a prywatnym pracowników (tzw. work-life balance – WLB). </w:t>
      </w:r>
      <w:r>
        <w:br/>
        <w:t xml:space="preserve">Inicjatywy związane z WLB będą miały charakter wyłącznie uzupełniający i powinny być bezpośrednio powiązane z miejscem pracy. Ich celem będzie poprawa sytuacji równościowej zatrudnionych, przeciwdziałanie dyskryminacji oraz promowanie zdrowych nawyków w środowisku zawodowym. </w:t>
      </w:r>
      <w:r>
        <w:br/>
      </w:r>
      <w:r>
        <w:br/>
        <w:t>Należy przy tym zaznaczyć, że nie przewiduje się finansowania kampanii promocyjnych.</w:t>
      </w:r>
      <w:r>
        <w:br/>
      </w:r>
      <w:r>
        <w:br/>
        <w:t>Dopuszczalne będą działania na rzecz podniesienia kompetencji i świadomości w zakresie cyberbezpieczeństwa, jako uzupełnienie wsparcia zaplanowanego w tym celu szczegółowym.</w:t>
      </w:r>
      <w:r>
        <w:br/>
      </w:r>
      <w:r>
        <w:br/>
      </w:r>
    </w:p>
    <w:p w14:paraId="02C511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1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1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1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1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1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11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1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1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1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11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1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1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1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1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Minimalny wkład własny beneficjenta</w:t>
      </w:r>
    </w:p>
    <w:p w14:paraId="02C511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1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1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1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1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1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1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Partnerzy społeczni, Przedsiębiorstwa, Przedsiębiorstwa realizujące cele publiczne, Służby publiczne</w:t>
      </w:r>
    </w:p>
    <w:p w14:paraId="02C511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1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Centra aktywności lokalnej, Duże przedsiębiorstwa, Instytucje finansowe, Instytucje integracji i pomocy społecznej, Instytucje otoczenia biznesu, Instytucje rynku pracy, Izby gospodarcze, Jednostki organizacyjne działające w imieniu jednostek samorządu terytorialnego, Jednostki Samorządu Terytorialnego, Lokalne Grupy Działania, MŚP, Niepubliczne podmioty integracji i pomocy społecznej, Organizacje pozarządowe, Organizacje zrzeszające pracodawców, Ośrodki innowacji, Ośrodki kształcenia dorosłych, Partnerstwa instytucji pozarządowych, Partnerstwa Publiczno-Prywatne, Partnerzy gospodarczy, Podmioty ekonomii społecznej, Podmioty świadczące usługi publiczne w ramach realizacji obowiązków własnych jednostek samorządu terytorialnego, Związki zawodowe</w:t>
      </w:r>
    </w:p>
    <w:p w14:paraId="02C511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1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kadra zarządzająca, osoby doświadczające stereotypów związanych z płcią, osoby powracające na rynek pracy, osoby pozostające w zatrudnieniu, lecz przebywające na urlopach macierzyńskich, rodzicielskich, wychowawczych i bezpłatnych, osoby pracujące, podmioty wpływające na działania w zakresie równego traktowania, pracodawcy, pracownicy, pracownicy (z wyłączeniem osób odbywających karę pozbawienia wolności, z wyjątkiem osób objętych dozorem elektronicznym), pracownicy jednostek samorządu terytorialnego ich związków, stowarzyszeń i porozumień, pracownicy przedsiębiorstw, pracowniczki i pracownicy wspartych podmiotów objęci komponentem szkoleniowym, przedsiębiorcy, przedsiębiorstwa</w:t>
      </w:r>
    </w:p>
    <w:p w14:paraId="02C511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1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aktywizacja_kobiet, dopasowanie_do_rynku_pracy, kobiety_liderki, kompetencje_społeczne, kompetencje_zawodowe, kształcenie_kadr, niedyskryminacja, równość_płci, równość_szans, szkolenia</w:t>
      </w:r>
    </w:p>
    <w:p w14:paraId="02C511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1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1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1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1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02C511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1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1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1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11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11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1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1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WLWK-PLCCO02 - Liczba osób objętych wsparciem w zakresie godzenia życia zawodowego z prywatnym</w:t>
      </w:r>
    </w:p>
    <w:p w14:paraId="02C511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WLWK-PLCCO01 - Liczba osób objętych wsparciem w zakresie równości kobiet i mężczyzn</w:t>
      </w:r>
    </w:p>
    <w:p w14:paraId="02C511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1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1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1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1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1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1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WLWK-PLCCR01 - Liczba osób, które podniosły poziom wiedzy w zakresie równości kobiet i mężczyzn dzięki wsparciu w programie</w:t>
      </w:r>
    </w:p>
    <w:p w14:paraId="02C511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1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WLWK-PLCCR02 - Liczba osób znajdujących się w lepszej sytuacji na rynku pracy po opuszczeniu programu</w:t>
      </w:r>
    </w:p>
    <w:p w14:paraId="02C511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17D"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1" w:name="_Toc235079789"/>
      <w:r>
        <w:rPr>
          <w:rFonts w:ascii="Calibri" w:hAnsi="Calibri" w:cs="Calibri"/>
          <w:sz w:val="32"/>
        </w:rPr>
        <w:t>Działanie FESL.05.12 Regionalne programy zdrowotne</w:t>
      </w:r>
      <w:bookmarkEnd w:id="51"/>
    </w:p>
    <w:p w14:paraId="02C511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1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EFS+.CP4.D - Wspieranie dostosowania pracowników, przedsiębiorstw i przedsiębiorców do zmian, wspieranie aktywnego i zdrowego starzenia się oraz zdrowego i dobrze dostosowanego środowiska pracy, które uwzględnia zagrożenia dla zdrowia</w:t>
      </w:r>
    </w:p>
    <w:p w14:paraId="02C511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1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4 764 706,00</w:t>
      </w:r>
    </w:p>
    <w:p w14:paraId="02C511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1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4 500 000,00</w:t>
      </w:r>
    </w:p>
    <w:p w14:paraId="02C511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1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144 - Działania na rzecz zdrowego i dostosowanego środowiska pracy uwzględniające zagrożenia dla zdrowia i obejmujące m.in. promocję aktywności fizycznej</w:t>
      </w:r>
    </w:p>
    <w:p w14:paraId="02C511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187" w14:textId="1B3374A5"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Wdrażane będą programy zdrowotne na rzecz polepszenia stanu zdrowia osób aktywnych zawodowo, w tym wydłużenia ich aktywności zawodowej. </w:t>
      </w:r>
      <w:r>
        <w:br/>
        <w:t>W formule regionalnych programów zdrowotnych będą realizowane działania z obszaru rehabilitacji medycznej.</w:t>
      </w:r>
      <w:r>
        <w:br/>
      </w:r>
      <w:r>
        <w:br/>
        <w:t>Typy projektów:</w:t>
      </w:r>
      <w:r>
        <w:br/>
        <w:t>1. Wdrażanie programów rehabilitacji medycznej ułatwiających powrót do pracy bądź utrzymanie zatrudnienia.</w:t>
      </w:r>
      <w:r>
        <w:br/>
      </w:r>
      <w:r>
        <w:br/>
        <w:t>Opis interwencji:</w:t>
      </w:r>
      <w:r>
        <w:br/>
        <w:t>Przedsięwzięcia obejmować będą wdrażanie regionalnych programów zdrowotnych (RPZ) dotyczących rehabilitacji medycznej. Możliwe do realizacji działania będą wynikały bezpośrednio z interwencji określonej w programie z zakresu rehabilitacji medycznej. Działania skierowane do osób bezrobotnych będą uwzględniały ścieżkę powrotu na rynek pracy (przez działania informacyjne).</w:t>
      </w:r>
      <w:r>
        <w:br/>
        <w:t xml:space="preserve">Programy będą kierowane do osób pracujących narażonych na opuszczenie rynku pracy z powodu czynników zdrowotnych lub do osób bezrobotnych zarejestrowanych, potrzebujących świadczeń rehabilitacyjnych w celu podjęcia lub powrotu do zatrudnienia (kryteria włączenia do udziału zostaną określone w programie zdrowotnym). </w:t>
      </w:r>
      <w:r>
        <w:br/>
        <w:t>Wybór projektów do dofinansowania będzie odbywał się w sposób konkurencyjny.</w:t>
      </w:r>
      <w:r>
        <w:br/>
      </w:r>
      <w:r>
        <w:br/>
        <w:t>Świadczenia rehabilitacyjne udzielane w ramach projektów finansowanych ze środków EFS+ są realizowane zgodnie z przepisami wydanymi na podstawie art. 146 ust. 1 pkt 1 ustawy z dnia 27 sierpnia 2004 r. o świadczeniach opieki zdrowotnej finansowanych ze środków publicznych.</w:t>
      </w:r>
      <w:r>
        <w:br/>
      </w:r>
      <w:r>
        <w:br/>
        <w:t>Uwarunkowanie interwencji:</w:t>
      </w:r>
      <w:r>
        <w:br/>
        <w:t xml:space="preserve">a. Regionalne Programy Zdrowotne muszą uzyskać akceptację Agencji Oceny Technologii Medycznych i </w:t>
      </w:r>
      <w:r>
        <w:lastRenderedPageBreak/>
        <w:t>Taryfikacji (AOTMiT) działającej przy Ministerstwie Zdrowia. Będzie możliwe realizowanie nowych programów zdrowotnych (pozytywnie zaopiniowanych przez AOTMiT) lub korzystanie z już wypracowanych (w tym realizowanych w ramach RPO WSL 2014-2020 oraz znajdujących się w repozytorium AOTMiT).</w:t>
      </w:r>
      <w:r>
        <w:br/>
        <w:t xml:space="preserve">b. Regionalne programy zdrowotne, które przewidują usługi zdrowotne wymienione w katalogu świadczeń gwarantowanych jako podstawowe i jednocześnie niezbędne dla realizacji programu, mogą być uznane za wykraczające poza zakres świadczeń gwarantowanych i niezastępujące świadczeń opieki zdrowotnej finansowanych ze środków publicznych. Warunkiem jest, by obejmowały także usługi zdrowotne ponadstandardowe, stanowiące wartość dodaną do funkcjonującego systemu opieki zdrowotnej, opracowane w logiczną całość oraz skierowane do zdefiniowanej grupy docelowej. </w:t>
      </w:r>
      <w:r>
        <w:br/>
        <w:t>c. Zgodnie z zapisami Umowy Partnerstwa, warunkiem koniecznym do podejmowania interwencji w zakresie ochrony zdrowia jest ich zgodność</w:t>
      </w:r>
      <w:r w:rsidR="002D509E">
        <w:t xml:space="preserve"> </w:t>
      </w:r>
      <w:r>
        <w:t>z uzgodnionym przez Komitet Sterujący ds. koordynacji wsparcia w sektorze zdrowia Planem działań w sektorze zdrowia, przygotowywanym przez IZ.</w:t>
      </w:r>
      <w:r>
        <w:br/>
        <w:t>d. Interwencje w obszarze ochrony zdrowia współfinansowane z EFS+ podlegają koordynacji oraz uwzględniają obligatoryjne rekomendacje Komitetu Sterującego ds. koordynacji wsparcia w sektorze zdrowia.</w:t>
      </w:r>
      <w:r>
        <w:br/>
        <w:t xml:space="preserve">e. Projekty realizowane są zgodnie z Wytycznymi Ministra Funduszy i Polityki Regionalnej dotyczącymi realizacji projektów z udziałem środków Europejskiego Funduszu Społecznego Plus w regionalnych programach na lata 2021-2027. </w:t>
      </w:r>
      <w:r>
        <w:br/>
        <w:t xml:space="preserve">f. Przedsięwzięcia podejmowane będą w odpowiedzi na problemy i wyzwania wskazane w regionalnej polityce zdrowotnej, mapach potrzeb zdrowotnych i innych dokumentach regionalnych, zgodnie z kierunkami określonymi w Wytycznych dotyczących realizacji projektów środków Europejskiego Funduszu Społecznego Plus w regionalnych programach na lata 2021–2027 oraz celami w dokumencie: Zdrowa przyszłość. Ramy strategiczne dla systemu ochrony zdrowia na lata 2021-2027 wraz z załącznikami. </w:t>
      </w:r>
      <w:r>
        <w:br/>
        <w:t>g. W ramach działania nie planuje się realizacji wsparcia polegającego na tworzeniu infrastruktury.</w:t>
      </w:r>
      <w:r>
        <w:br/>
        <w:t>h. Instytucja Ogłaszająca Nabór określi szczegółowe zasady realizacji wsparcia w kryteriach wyboru projektu oraz w Regulaminie wyboru projektów.</w:t>
      </w:r>
      <w:r>
        <w:br/>
        <w:t>i. Działanie będzie realizowane z uwzględnieniem zasad horyzontalnych (zgodnie z art. 9 Rozporządzenia Parlamentu Europejskiego i Rady (UE) nr 2021/1060 z dnia 24 czerwca 2021 r.), a obowiązek ich stosowania wynika z Umowy Partnerstwa, programu oraz wytycznych.</w:t>
      </w:r>
      <w:r>
        <w:br/>
      </w:r>
    </w:p>
    <w:p w14:paraId="02C511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1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1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1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2C511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02C511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1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1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1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1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stawka jednostkowa w oparciu o metodykę IZ [art. 53(3)(a) CPR], uproszczona metoda rozliczania wydatków w oparciu o projekt budżetu [art. 53(3)(b) CPR]</w:t>
      </w:r>
    </w:p>
    <w:p w14:paraId="02C511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1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1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1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1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1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02C511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1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1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1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1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1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1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1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w:t>
      </w:r>
    </w:p>
    <w:p w14:paraId="02C511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1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profilaktyka, regionalne_programy_zdrowotne, usługi_zdrowotne, zdrowa_praca, zdrowie, zdrowie_psychiczne, zdrowie_publiczne</w:t>
      </w:r>
    </w:p>
    <w:p w14:paraId="02C511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1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1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1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1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1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1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1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1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1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1AC" w14:textId="6DA21CDD"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WLWK-PLDCO08</w:t>
      </w:r>
      <w:r w:rsidR="002D509E">
        <w:t xml:space="preserve"> </w:t>
      </w:r>
      <w:r>
        <w:t>- Liczba osób objętych wsparciem w obszarze zdrowia</w:t>
      </w:r>
    </w:p>
    <w:p w14:paraId="02C511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1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1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1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1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WLWK-PLDKCO01 - Liczba wdrożonych programów polityki zdrowotnej</w:t>
      </w:r>
    </w:p>
    <w:p w14:paraId="02C511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1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WLWK-PLDCR03 - Liczba osób, które dzięki wsparciu w obszarze zdrowia podjęły pracę lub kontynuowały zatrudnienie</w:t>
      </w:r>
    </w:p>
    <w:p w14:paraId="02C511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1B5"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2" w:name="_Toc235079790"/>
      <w:r>
        <w:rPr>
          <w:rFonts w:ascii="Calibri" w:hAnsi="Calibri" w:cs="Calibri"/>
          <w:sz w:val="32"/>
        </w:rPr>
        <w:t>Działanie FESL.05.13 Zdrowy pracownik</w:t>
      </w:r>
      <w:bookmarkEnd w:id="52"/>
    </w:p>
    <w:p w14:paraId="02C511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1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EFS+.CP4.D - Wspieranie dostosowania pracowników, przedsiębiorstw i przedsiębiorców do zmian, wspieranie aktywnego i zdrowego starzenia się oraz zdrowego i dobrze dostosowanego środowiska pracy, które uwzględnia zagrożenia dla zdrowia</w:t>
      </w:r>
    </w:p>
    <w:p w14:paraId="02C511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Wysokość alokacji ogółem (EUR)</w:t>
      </w:r>
    </w:p>
    <w:p w14:paraId="02C511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11 792 000,00</w:t>
      </w:r>
    </w:p>
    <w:p w14:paraId="02C511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1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11 792 000,00</w:t>
      </w:r>
    </w:p>
    <w:p w14:paraId="02C511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1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144 - Działania na rzecz zdrowego i dostosowanego środowiska pracy uwzględniające zagrożenia dla zdrowia i obejmujące m.in. promocję aktywności fizycznej</w:t>
      </w:r>
    </w:p>
    <w:p w14:paraId="02C511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1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Wsparcie zdrowia osób pracujących uwzględniać będzie rozwój działań prozdrowotnych, profilaktycznych i poprawiających ergonomię w miejscu pracy. </w:t>
      </w:r>
      <w:r>
        <w:br/>
      </w:r>
      <w:r>
        <w:br/>
        <w:t>Typy projektów:</w:t>
      </w:r>
      <w:r>
        <w:br/>
        <w:t>1.Eliminowanie zdrowotnych czynników ryzyka w miejscu pracy.</w:t>
      </w:r>
      <w:r>
        <w:br/>
      </w:r>
      <w:r>
        <w:br/>
        <w:t>Opis interwencji:</w:t>
      </w:r>
      <w:r>
        <w:br/>
        <w:t>Eliminowanie zdrowotnych czynników ryzyka w miejscu pracy realizowane poza formułą regionalnych programów zdrowotnych jako działanie dostosowane do potrzeb konkretnego pracodawcy i jego pracowników.</w:t>
      </w:r>
      <w:r>
        <w:br/>
      </w:r>
      <w:r>
        <w:br/>
        <w:t xml:space="preserve">Przedsięwzięcia obejmować będą m.in. </w:t>
      </w:r>
      <w:r>
        <w:br/>
        <w:t>• działania z zakresu edukacji zdrowotnej, działania świadomościowe i profilaktyczne w miejscu pracy,</w:t>
      </w:r>
      <w:r>
        <w:br/>
        <w:t>• działania szkoleniowe (w tym w zakresie profilaktyki wypalenia zawodowego, chorób zawodowych i czynników ryzyka w miejscu pracy)</w:t>
      </w:r>
      <w:r>
        <w:br/>
        <w:t>• działania zwiększające ergonomię pracy (w tym modernizacja stanowiska pracy, dostosowanie warunków pracy),</w:t>
      </w:r>
      <w:r>
        <w:br/>
        <w:t xml:space="preserve">• poradnictwo psychologiczne, </w:t>
      </w:r>
      <w:r>
        <w:br/>
        <w:t>• wsparcie dla pracodawców przyczyniające się do eliminacji zidentyfikowanych zagrożeń dla zdrowia,</w:t>
      </w:r>
      <w:r>
        <w:br/>
        <w:t>• realizacja usług zdrowotnych dla pracowników (badania profilaktyczne i na potrzeby diagnostyki chorób w tym zawodowych – wykraczające poza obowiązkowe badania z zakresu medycyny pracy),</w:t>
      </w:r>
      <w:r>
        <w:br/>
        <w:t>• wdrożenie rozwiązań harmonizujących życie społeczne i zawodowe pracowników tzw. WLB (idea work-life balance).</w:t>
      </w:r>
      <w:r>
        <w:br/>
        <w:t>Wsparcie inicjatywy WLB będzie działaniem wyłącznie uzupełniającym. Powinno zostać powiązane z miejscem pracy w celu polepszenia stanu zdrowia, kreowania prozdrowotnych zachowań w miejscu pracy (brak możliwości finansowania kampanii promocyjnych).</w:t>
      </w:r>
      <w:r>
        <w:br/>
      </w:r>
      <w:r>
        <w:br/>
        <w:t xml:space="preserve">Działania realizowane będą na podstawie indywidualnej pogłębionej diagnozy potrzeb tzw. „Analizy”, która będzie identyfikować zdrowotne czynniki ryzyka w miejscu pracy, problemy i potrzeby zdrowotne </w:t>
      </w:r>
      <w:r>
        <w:lastRenderedPageBreak/>
        <w:t xml:space="preserve">pracowników oraz wskaże działania z zakresu niwelowania czynników ryzyka. </w:t>
      </w:r>
      <w:r>
        <w:br/>
        <w:t xml:space="preserve">Wsparcie dostosowane będzie do zidentyfikowanych potrzeb pracodawców i pracowników. Projekty obejmą działania dla pracowników w zakresie poszerzania wiedzy na temat zdrowotnych czynników ryzyka w miejscu pracy oraz działania prewencyjne lub naprawcze w zakresie czynników szkodliwych lub uciążliwych występujących w miejscu pracy. </w:t>
      </w:r>
      <w:r>
        <w:br/>
      </w:r>
      <w:r>
        <w:br/>
        <w:t>Uwarunkowanie interwencji:</w:t>
      </w:r>
      <w:r>
        <w:br/>
        <w:t>a. Zgodnie z zapisami Umowy Partnerstwa usługi zdrowotne finansowane z EFS+ nie będą obejmować leczenia i zabiegów medycznych innych niż na potrzeby diagnostyki.</w:t>
      </w:r>
      <w:r>
        <w:br/>
        <w:t>b. Wybór projektów do dofinansowania będzie odbywał się w sposób konkurencyjny.</w:t>
      </w:r>
      <w:r>
        <w:br/>
        <w:t>c. Projekty kierowane są do pracowników, w tym pracujących w warunkach negatywnie wpływających na zdrowie.</w:t>
      </w:r>
      <w:r>
        <w:br/>
        <w:t>d. Zgodnie z zapisami Umowy Partnerstwa, warunkiem koniecznym do podejmowania interwencji w zakresie ochrony zdrowia jest ich zgodność z uzgodnionym przez Komitet Sterujący ds. koordynacji wsparcia w sektorze zdrowia Planem działań w sektorze zdrowia, przygotowywanym przez IZ.</w:t>
      </w:r>
      <w:r>
        <w:br/>
        <w:t>e. Interwencje w obszarze ochrony zdrowia współfinansowane z EFS+ podlegają koordynacji oraz uwzględniają obligatoryjne rekomendacje Komitetu Sterującego ds. koordynacji wsparcia w sektorze zdrowia.</w:t>
      </w:r>
      <w:r>
        <w:br/>
        <w:t xml:space="preserve">f. Projekty realizowane są zgodnie z Wytycznymi Ministra Funduszy i Polityki Regionalnej dotyczącymi realizacji projektów z udziałem środków Europejskiego Funduszu Społecznego Plus w regionalnych programach na lata 2021-2027. </w:t>
      </w:r>
      <w:r>
        <w:br/>
        <w:t xml:space="preserve">g. Przedsięwzięcia podejmowane będą w odpowiedzi na problemy i wyzwania wskazane w regionalnej polityce zdrowotnej, mapach potrzeb zdrowotnych i innych dokumentach regionalnych, zgodnie z kierunkami określonymi w Wytycznych dotyczących realizacji projektów środków Europejskiego Funduszu Społecznego Plus w regionalnych programach na lata 2021–2027 oraz celami w dokumencie: Zdrowa przyszłość. Ramy strategiczne dla systemu ochrony zdrowia na lata 2021-2027 wraz z załącznikami. </w:t>
      </w:r>
      <w:r>
        <w:br/>
        <w:t>h. Instytucja Ogłaszająca Nabór określi szczegółowe zasady realizacji wsparcia w kryteriach wyboru projektu oraz w Regulaminie wyboru projektów.</w:t>
      </w:r>
      <w:r>
        <w:br/>
        <w:t>i. Zgodnie z Wytycznymi dotyczącymi kwalifikowalności wydatków na lata 2021-2027 możliwe jest zastosowanie tzw. cross-financingu.</w:t>
      </w:r>
      <w:r>
        <w:br/>
        <w:t>j. Działanie będzie realizowane z uwzględnieniem zasad horyzontalnych (zgodnie z art. 9 Rozporządzenia Parlamentu Europejskiego i Rady (UE) nr 2021/1060 z dnia 24 czerwca 2021 r.), a obowiązek ich stosowania wynika z Umowy Partnerstwa, programu oraz wytycznych.</w:t>
      </w:r>
      <w:r>
        <w:br/>
      </w:r>
    </w:p>
    <w:p w14:paraId="02C511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1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1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11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1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1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1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1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1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1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1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1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1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1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02C511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1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1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1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70 000,00</w:t>
      </w:r>
    </w:p>
    <w:p w14:paraId="02C511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1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1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1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1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1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ochrony zdrowia, Instytucje wspierające biznes, Organizacje społeczne i związki wyznaniowe, Partnerzy społeczni, Przedsiębiorstwa</w:t>
      </w:r>
    </w:p>
    <w:p w14:paraId="02C511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1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profilaktyka, zdrowa_praca, zdrowie, zdrowie_publiczne</w:t>
      </w:r>
    </w:p>
    <w:p w14:paraId="02C511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1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1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1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1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1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1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1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1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1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1E4" w14:textId="0CEA9A46"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WLWK-PLDCO08</w:t>
      </w:r>
      <w:r w:rsidR="002D509E">
        <w:t xml:space="preserve"> </w:t>
      </w:r>
      <w:r>
        <w:t>- Liczba osób objętych wsparciem w obszarze zdrowia</w:t>
      </w:r>
    </w:p>
    <w:p w14:paraId="02C511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1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1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1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1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1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WLWK-PLDCR03 - Liczba osób, które dzięki wsparciu w obszarze zdrowia podjęły pracę lub kontynuowały zatrudnienie</w:t>
      </w:r>
    </w:p>
    <w:p w14:paraId="02C511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1EC"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3" w:name="_Toc235079791"/>
      <w:r>
        <w:rPr>
          <w:rFonts w:ascii="Calibri" w:hAnsi="Calibri" w:cs="Calibri"/>
          <w:sz w:val="32"/>
        </w:rPr>
        <w:t>Działanie FESL.05.14 Usługi rozwojowe dla kadr administracji samorządowej</w:t>
      </w:r>
      <w:bookmarkEnd w:id="53"/>
    </w:p>
    <w:p w14:paraId="02C511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1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EFS+.CP4.D - Wspieranie dostosowania pracowników, przedsiębiorstw i przedsiębiorców do zmian, wspieranie aktywnego i zdrowego starzenia się oraz zdrowego i dobrze dostosowanego środowiska pracy, które uwzględnia zagrożenia dla zdrowia</w:t>
      </w:r>
    </w:p>
    <w:p w14:paraId="02C511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1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1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1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4 850 842,00</w:t>
      </w:r>
    </w:p>
    <w:p w14:paraId="02C511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1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4 850 842,00</w:t>
      </w:r>
    </w:p>
    <w:p w14:paraId="02C511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1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146 - Wsparcie na rzecz przystosowywania pracowników, przedsiębiorstw i przedsiębiorców do zmian</w:t>
      </w:r>
    </w:p>
    <w:p w14:paraId="02C511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1F8" w14:textId="2396896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1. Szkolenia i studia podyplomowe dla pracowników gminnych i powiatowych jednostek samorządu terytorialnego, w tym pracowników Związku ZIT oraz dla pracowników Związku Metropolitarnego w województwie śląskim (GZM), zmierzające do nabycia kwalifikacji lub nabycia/podniesienia kompetencji, w szczególności cyfrowych lub zielonych niezbędnych do wykorzystania w ramach posiadanych kompetencji w celu usprawnienia i poprawy jakości świadczonych usług publicznych i współpracy z klientem zewnętrznym.</w:t>
      </w:r>
      <w:r>
        <w:br/>
      </w:r>
      <w:r>
        <w:br/>
        <w:t xml:space="preserve">Oferowane wsparcie jest spójne z misją i wizją organizacji publicznej a także odpowiada potrzebom rozwojowym danej organizacji a działania projektowe wynikają ze zidentyfikowanych luk kompetencyjnych. </w:t>
      </w:r>
      <w:r>
        <w:br/>
      </w:r>
      <w:r>
        <w:br/>
        <w:t>Zakres wsparcia nie może zastępować standardowego wsparcia szkoleniowego, wynikającego ze specyfiki danego stanowiska oraz obowiązków pracodawcy.</w:t>
      </w:r>
      <w:r>
        <w:br/>
      </w:r>
      <w:r>
        <w:br/>
      </w:r>
      <w:r>
        <w:br/>
        <w:t xml:space="preserve">2. Szkolenia/kursy, studia podyplomowe i managerskie, kursy językowe, zgodnie ze zdiagnozowanymi potrzebami szkoleniowymi (w tym w kierunku cyfrowej i zielonej gospodarki) pracowników Urzędu Marszałkowskiego Województwa Śląskiego oraz pracowników samorządowych jednostek organizacyjnych Województwa Śląskiego i spółek z udziałem Województwa Śląskiego. </w:t>
      </w:r>
      <w:r>
        <w:br/>
        <w:t>Wsparcie realizowane będzie w ramach przedsięwzięcia strategicznego: Podniesienie kompetencji kadr Urzędu Marszałkowskiego Województwa Śląskiego, oraz jednostek organizacyjnych samorządu województwa (projekt realizowany w etapach).</w:t>
      </w:r>
      <w:r>
        <w:br/>
      </w:r>
      <w:r>
        <w:br/>
        <w:t xml:space="preserve">Celem projektu jest podniesienie kompetencji oraz zwiększenie wiedzy i umiejętności pracowników </w:t>
      </w:r>
      <w:r>
        <w:lastRenderedPageBreak/>
        <w:t>Urzędu Marszałkowskiego Województwa Śląskiego oraz pracowników samorządowych jednostek organizacyjnych Urzędu Marszałkowskiego Województwa Śląskiego, które wpłyną na zdolności organizacyjne jednostki samorządu terytorialnego, ale także na poprawę sprawności instytucjonalnej i wzrost jakości i efektywności obsługi klientów oraz projektów rozwojowych realizowanych przez samorząd</w:t>
      </w:r>
      <w:r>
        <w:br/>
      </w:r>
      <w:r>
        <w:br/>
      </w:r>
      <w:r>
        <w:br/>
        <w:t>Zakres wsparcia nie może zastępować standardowego wsparcia szkoleniowego, wynikającego ze specyfiki danego stanowiska oraz obowiązków pracodawcy.</w:t>
      </w:r>
      <w:r>
        <w:br/>
      </w:r>
      <w:r>
        <w:br/>
        <w:t>Dopuszcza się preferencje w zakresie szkoleń z zarządzania kryzysowego i obrony cywilnej, w szczególności dla kadr administracji i III sektora oraz służb obrony cywilnej.</w:t>
      </w:r>
      <w:r>
        <w:br/>
      </w:r>
      <w:r>
        <w:br/>
        <w:t>Wsparcie dla typu nr 2 jest ujęte w wykazie przedsięwzięć priorytetowych w ramach Programu Regionalnego, stanowiącym załącznik do Kontraktu Programowego dla Województwa Śląskiego, pod nazwą "Podniesienie kompetencji kadr Urzędu Marszałkowskiego Województwa Śląskiego".</w:t>
      </w:r>
      <w:r>
        <w:br/>
      </w:r>
      <w:r>
        <w:br/>
        <w:t>W związku z tym, iż wsparcie adresowane będzie dla pracowników Urzędu Marszałkowskiego Województwa Śląskiego oraz pracowników samorządowych jednostek organizacyjnych Urzędu Marszałkowskiego Województwa Śląskiego</w:t>
      </w:r>
      <w:r w:rsidR="002D509E">
        <w:t xml:space="preserve"> </w:t>
      </w:r>
      <w:r>
        <w:t>- dystrybucja szkoleń będzie realizowana w oparciu o Podmiotowy System Finansowania, z możliwością wykorzystania innych narzędzi niż Baza Usług Rozwojowych, a mianowicie procedur PZP - ze względu na obowiązek ich stosowania przez pracodawców (JST), których pracownicy będą korzystać z tego wsparcia. W przypadku wsparcia dla kadr administracji możliwość wykorzystania innych narzędzi niż BUR – procedur wynikających z PZP, jednak przy zachowaniu podmiotowego systemu finansowania.</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Dopuszczalne będą działania na rzecz podniesienia kompetencji i świadomości w zakresie cyberbezpieczeństwa, jako uzupełnienie wsparcia zaplanowanego w tym celu szczegółowym.</w:t>
      </w:r>
    </w:p>
    <w:p w14:paraId="02C511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1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1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1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1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1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1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2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2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2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12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2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2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2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02C512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2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2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2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2C512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2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2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2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Służby publiczne, Zintegrowane Inwestycje Terytorialne (ZIT)</w:t>
      </w:r>
    </w:p>
    <w:p w14:paraId="02C512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2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Podmioty świadczące usługi publiczne w ramach realizacji obowiązków własnych jednostek samorządu terytorialnego, Publiczne zakłady opieki zdrowotnej, Zintegrowane Inwestycje Terytorialne (ZIT)</w:t>
      </w:r>
    </w:p>
    <w:p w14:paraId="02C512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2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kadra JST, pracownicy jednostek organizacyjnych JST posiadających osobowość prawną, pracownicy jednostek samorządu terytorialnego ich związków, stowarzyszeń i porozumień, samorząd województwa</w:t>
      </w:r>
    </w:p>
    <w:p w14:paraId="02C512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Słowa kluczowe</w:t>
      </w:r>
    </w:p>
    <w:p w14:paraId="02C512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adaptacyjność, administracja_samorządowa, kadry_administracji, kadry_jst, kompetencje, kompetencje_cyfrowe, kwalifikacje, studia_podyplomowe, szkolenia, zielone_kompetencje</w:t>
      </w:r>
    </w:p>
    <w:p w14:paraId="02C512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2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2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2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2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2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2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2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2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2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2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2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2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12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12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2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2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02C512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PROG-FESLR-21 - Liczba osób, które uzyskały kwalifikacje cyfrowe po opuszczeniu programu</w:t>
      </w:r>
    </w:p>
    <w:p w14:paraId="02C512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228"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4" w:name="_Toc235079792"/>
      <w:r>
        <w:rPr>
          <w:rFonts w:ascii="Calibri" w:hAnsi="Calibri" w:cs="Calibri"/>
          <w:sz w:val="32"/>
        </w:rPr>
        <w:t>Działanie FESL.05.15 Usługi rozwojowe dla przedsiębiorców - PSF</w:t>
      </w:r>
      <w:bookmarkEnd w:id="54"/>
    </w:p>
    <w:p w14:paraId="02C512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2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EFS+.CP4.D - Wspieranie dostosowania pracowników, przedsiębiorstw i przedsiębiorców do zmian, wspieranie aktywnego i zdrowego starzenia się oraz zdrowego i dobrze dostosowanego środowiska pracy, które uwzględnia zagrożenia dla zdrowia</w:t>
      </w:r>
    </w:p>
    <w:p w14:paraId="02C512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Instytucja Pośrednicząca</w:t>
      </w:r>
    </w:p>
    <w:p w14:paraId="02C512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2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2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48 656 931,00</w:t>
      </w:r>
    </w:p>
    <w:p w14:paraId="02C512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2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48 656 931,00</w:t>
      </w:r>
    </w:p>
    <w:p w14:paraId="02C512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2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146 - Wsparcie na rzecz przystosowywania pracowników, przedsiębiorstw i przedsiębiorców do zmian</w:t>
      </w:r>
    </w:p>
    <w:p w14:paraId="02C512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234" w14:textId="5B2DB0E5"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 dla przedsiębiorców w zakresie usług rozwojowych poprzez rozwój umiejętności/kompetencji/kwalifikacji ich pracowników, w ramach Podmiotowego Systemu Finansowania (PSF), w oparciu o Bazę Usług Rozwojowych (BUR), zgodnie z warunkami określonymi w rozdziale 5 i 8 „Wytycznych dotyczących realizacji projektów z udziałem środków EFS+ na lata 2021-2027”.</w:t>
      </w:r>
      <w:r>
        <w:br/>
        <w:t>Nabory prowadzone w ramach działania będą miały na celu wybór Operatorów w drodze konkursu.</w:t>
      </w:r>
      <w:r>
        <w:br/>
      </w:r>
      <w:r>
        <w:br/>
        <w:t>WARUNKI:</w:t>
      </w:r>
      <w:r>
        <w:br/>
      </w:r>
      <w:r>
        <w:br/>
        <w:t>a)</w:t>
      </w:r>
      <w:r>
        <w:tab/>
        <w:t>Usługi rozwojowe (usługi doradcze, usługi szkoleniowe, formalne potwierdzenie efektów uczenia się, tj. walidacja, certyfikacja) realizowane są w formule operatorskiej poprzez PSF, za pośrednictwem BUR, zgodnie ze zidentyfikowanymi potrzebami przedsiębiorców i ich pracowników.</w:t>
      </w:r>
      <w:r>
        <w:br/>
      </w:r>
      <w:r>
        <w:br/>
        <w:t>Usługi rozwojowe nie mogą dotyczyć obowiązkowych szkoleń wynikających z przepisów prawa.</w:t>
      </w:r>
      <w:r>
        <w:br/>
      </w:r>
      <w:r>
        <w:br/>
        <w:t>b)</w:t>
      </w:r>
      <w:r>
        <w:tab/>
        <w:t xml:space="preserve">Z uwagi na zapewnienie adaptacji przedsiębiorstw i ich pracowników do zachodzących zmian wynikających z potrzeb rynku pracy, w tym zielonej </w:t>
      </w:r>
      <w:r>
        <w:br/>
        <w:t>i cyfrowej transformacji, preferowane będzie udzielanie wsparcia na usługi rozwojowe, prowadzące do: nabycia kwalifikacji zarejestrowanych w Zintegrowanym Rejestrze Kwalifikacji (posiadających nadany kod kwalifikacji);</w:t>
      </w:r>
      <w:r w:rsidR="002D509E">
        <w:t xml:space="preserve"> </w:t>
      </w:r>
      <w:r>
        <w:t>umiejętności/kwalifikacji/kompetencji niezbędnych do podjęcia pracy w sektorze zielonej gospodarki; umiejętności/kwalifikacji/kompetencji cyfrowych oraz umiejętności/kwalifikacji/kompetencji niezbędnych</w:t>
      </w:r>
      <w:r w:rsidR="002D509E">
        <w:t xml:space="preserve"> </w:t>
      </w:r>
      <w:r>
        <w:t xml:space="preserve">w branżach istotnych </w:t>
      </w:r>
      <w:r>
        <w:br/>
        <w:t xml:space="preserve">z punktu widzenia regionu, wskazanych w Programie Rozwoju Technologii Województwa Śląskiego na lata 2019-2030. </w:t>
      </w:r>
      <w:r>
        <w:br/>
      </w:r>
      <w:r>
        <w:br/>
        <w:t>c)</w:t>
      </w:r>
      <w:r>
        <w:tab/>
        <w:t xml:space="preserve">Uczestnikami projektu mogą być przedsiębiorcy prowadzący działalność gospodarczą na terenie województwa śląskiego i ich pracownicy. </w:t>
      </w:r>
      <w:r>
        <w:br/>
      </w:r>
      <w:r>
        <w:br/>
      </w:r>
      <w:r>
        <w:lastRenderedPageBreak/>
        <w:t>Szczegóły dotyczące zasad realizacji wsparcia w tym m.in. potwierdzania efektów uczenia, zostaną wskazane w Regulaminie wyboru.</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Dopuszczalne będą działania na rzecz podniesienia kompetencji i świadomości w zakresie cyberbezpieczeństwa, jako uzupełnienie wsparcia zaplanowanego w tym celu szczegółowym.</w:t>
      </w:r>
    </w:p>
    <w:p w14:paraId="02C512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2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80</w:t>
      </w:r>
    </w:p>
    <w:p w14:paraId="02C512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2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80</w:t>
      </w:r>
    </w:p>
    <w:p w14:paraId="02C512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2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2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2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2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2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12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2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2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2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2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2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2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Realizacja instrumentów terytorialnych</w:t>
      </w:r>
    </w:p>
    <w:p w14:paraId="02C512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2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2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Partnerzy społeczni, Przedsiębiorstwa, Przedsiębiorstwa realizujące cele publiczne</w:t>
      </w:r>
    </w:p>
    <w:p w14:paraId="02C512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2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Centra aktywności lokalnej, Duże przedsiębiorstwa, Instytucje finansowe, Instytucje otoczenia biznesu, Izby gospodarcze, MŚP, Organizacje pozarządowe, Organizacje zrzeszające pracodawców, Ośrodki kształcenia dorosłych, Partnerzy gospodarczy, Podmioty ekonomii społecznej, Związki zawodowe</w:t>
      </w:r>
    </w:p>
    <w:p w14:paraId="02C512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2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pracownicy przedsiębiorstw, przedsiębiorstwa</w:t>
      </w:r>
    </w:p>
    <w:p w14:paraId="02C512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2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adaptacyjność, baza_usług_rozwojowych, kompetencje, kompetencje_cyfrowe, kwalifikacje, PSF, studia_podyplomowe, szkolenia, usługi_rozwojowe, zielone_kompetencje</w:t>
      </w:r>
    </w:p>
    <w:p w14:paraId="02C512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2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12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2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2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2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WLWK-PLDCO01 - Liczba mikro-, małych i średnich przedsiębiorstw (w tym spółdzielni i przedsiębiorstw społecznych) objętych usługami rozwojowymi</w:t>
      </w:r>
    </w:p>
    <w:p w14:paraId="02C512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2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2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2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2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2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2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02C5125C" w14:textId="1E3F299F"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WLWK-EECO08 - Liczba osób w wieku 55 lat i więcej</w:t>
      </w:r>
      <w:r w:rsidR="002D509E">
        <w:t xml:space="preserve"> </w:t>
      </w:r>
      <w:r>
        <w:t>objętych wsparciem w programie</w:t>
      </w:r>
    </w:p>
    <w:p w14:paraId="02C512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2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2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WLWK-PLDCO04 - Liczba pracowników mikro-, małych i średnich przedsiębiorstw (w tym spółdzielni i przedsiębiorstw społecznych) objętych usługą rozwojową</w:t>
      </w:r>
    </w:p>
    <w:p w14:paraId="02C512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2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12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12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2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2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02C512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PROG-FESLR-21 - Liczba osób, które uzyskały kwalifikacje cyfrowe po opuszczeniu programu</w:t>
      </w:r>
    </w:p>
    <w:p w14:paraId="02C512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268"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5" w:name="_Toc235079793"/>
      <w:r>
        <w:rPr>
          <w:rFonts w:ascii="Calibri" w:hAnsi="Calibri" w:cs="Calibri"/>
          <w:sz w:val="32"/>
        </w:rPr>
        <w:t>Działanie FESL.05.16 Outplacement EFS+</w:t>
      </w:r>
      <w:bookmarkEnd w:id="55"/>
    </w:p>
    <w:p w14:paraId="02C512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2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EFS+.CP4.D - Wspieranie dostosowania pracowników, przedsiębiorstw i przedsiębiorców do zmian, wspieranie aktywnego i zdrowego starzenia się oraz zdrowego i dobrze dostosowanego środowiska pracy, które uwzględnia zagrożenia dla zdrowia</w:t>
      </w:r>
    </w:p>
    <w:p w14:paraId="02C512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2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2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2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4 645 556,00</w:t>
      </w:r>
    </w:p>
    <w:p w14:paraId="02C512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2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4 181 000,00</w:t>
      </w:r>
    </w:p>
    <w:p w14:paraId="02C512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2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146 - Wsparcie na rzecz przystosowywania pracowników, przedsiębiorstw i przedsiębiorców do zmian</w:t>
      </w:r>
    </w:p>
    <w:p w14:paraId="02C512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2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realizowane będzie wsparcie na zasadach dotyczących projektów o charakterze outplacementowym, poprzez ścieżkę reorientacji zawodowej dla uczestników projektów. </w:t>
      </w:r>
      <w:r>
        <w:br/>
      </w:r>
      <w:r>
        <w:lastRenderedPageBreak/>
        <w:br/>
        <w:t xml:space="preserve">Wsparcie będzie skierowane do osób z obszaru woj. śląskiego, których status na rynku pracy pozwala na skorzystanie z instrumentu outplacement. </w:t>
      </w:r>
      <w:r>
        <w:br/>
      </w:r>
      <w:r>
        <w:br/>
        <w:t>WARUNKI:</w:t>
      </w:r>
      <w:r>
        <w:br/>
      </w:r>
      <w:r>
        <w:br/>
        <w:t>1. jest osobą pracującą lub zamieszkującą (w rozumieniu przepisów Kodeksu Cywilnego) na obszarze woj. śląskiego;</w:t>
      </w:r>
      <w:r>
        <w:br/>
        <w:t>2. jest osobą zagrożoną, przewidzianą do zwolnienia lub zwolnioną w ciągu 6 miesięcy przed dniem podpisania umowy uczestnictwa w projekcie z przyczyn niedotyczących pracownika, przyczyn restrukturyzacyjnych, adaptacyjnych i modernizacyjnych przedsiębiorstwa.</w:t>
      </w:r>
      <w:r>
        <w:br/>
      </w:r>
      <w:r>
        <w:br/>
        <w:t>Wsparciem nie mogą zostać objęte osoby, które na dzień rozpoczęcia udziału w projekcie były zatrudnione w podmiotach z branży górniczej lub okołogórniczej ani osoby, których ostatnim miejscem pracy był podmiot z branży górniczej lub okołogórniczej.</w:t>
      </w:r>
      <w:r>
        <w:br/>
      </w:r>
      <w:r>
        <w:br/>
      </w:r>
      <w:r>
        <w:br/>
        <w:t xml:space="preserve">Realizacja ścieżki reorientacji zawodowej jako elementów w programie wsparcia outplacement wyeliminuje lub ograniczy okres pozostawania uczestników projektu poza rynkiem pracy, pozwalając na płynne przejście do nowej pracy. </w:t>
      </w:r>
      <w:r>
        <w:br/>
      </w:r>
      <w:r>
        <w:br/>
        <w:t>Typy projektów:</w:t>
      </w:r>
      <w:r>
        <w:br/>
      </w:r>
      <w:r>
        <w:br/>
        <w:t>Wsparcie realizowane będzie poprzez ścieżkę reorientacji zawodowej, która będzie obejmować następujące elementy:</w:t>
      </w:r>
      <w:r>
        <w:br/>
      </w:r>
      <w:r>
        <w:br/>
        <w:t>- indywidualne doradztwo zawodowe zakończone Indywidulanym Planem Działania (wsparcie obowiązkowe);</w:t>
      </w:r>
      <w:r>
        <w:br/>
        <w:t>- szkolenia, kursy (świadczone m. in. za pośrednictwem Bazy Usług Rozwojowych poza Podmiotowym Systemem Finansowania) służące podniesieniu lub nabyciu nowych kompetencji / kwalifikacji przez uczestnika projektu, w szczególności na potrzeby zielonych miejsc pracy oraz w zakresie cyfrowych umiejętności;</w:t>
      </w:r>
      <w:r>
        <w:br/>
        <w:t xml:space="preserve">- egzaminy certyfikujące; </w:t>
      </w:r>
      <w:r>
        <w:br/>
        <w:t>- doradztwo prawne;</w:t>
      </w:r>
      <w:r>
        <w:br/>
        <w:t>- wsparcie psychologiczne;</w:t>
      </w:r>
      <w:r>
        <w:br/>
        <w:t>- pośrednictwo pracy;</w:t>
      </w:r>
      <w:r>
        <w:br/>
        <w:t>- subsydiowane zatrudnienie dla uczestnika projektu;</w:t>
      </w:r>
      <w:r>
        <w:br/>
        <w:t>- doposażenie / wyposażenie stanowiska pracy dla zatrudnionego uczestnika projektu;</w:t>
      </w:r>
      <w:r>
        <w:br/>
        <w:t>- wsparcie towarzyszące (np. opieka nad osobami zależnymi, refundacja kosztów dojazdu, stypendium szkoleniowe).</w:t>
      </w:r>
      <w:r>
        <w:br/>
      </w:r>
      <w:r>
        <w:br/>
      </w:r>
      <w:r>
        <w:lastRenderedPageBreak/>
        <w:t>Dopuszczalne będą działania na rzecz podniesienia kompetencji i świadomości w zakresie cyberbezpieczeństwa, jako uzupełnienie wsparcia zaplanowanego w tym celu szczegółowym.</w:t>
      </w:r>
    </w:p>
    <w:p w14:paraId="02C512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2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2C512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2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2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2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12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2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2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2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12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2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2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2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2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2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2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2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2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2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Partnerzy społeczni, Przedsiębiorstwa, Przedsiębiorstwa realizujące cele publiczne, Służby publiczne</w:t>
      </w:r>
    </w:p>
    <w:p w14:paraId="02C512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2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Duże przedsiębiorstwa, Instytucje finansowe, Instytucje integracji i pomocy społecznej, Instytucje otoczenia biznesu, Instytucje rynku pracy, Izby gospodarcze, Jednostki organizacyjne działające w imieniu jednostek samorządu terytorialnego, Jednostki Samorządu Terytorialnego, Klastry, Kościoły i związki wyznaniowe, MŚP, Niepubliczne podmioty integracji i pomocy społecznej, Organizacje pozarządowe, Organizacje zrzeszające pracodawców, Ośrodki kształcenia dorosłych, Partnerstwa instytucji pozarządowych, Partnerstwa Publiczno-Prywatne, Partnerzy gospodarczy, Podmioty ekonomii społecznej, Podmioty świadczące usługi publiczne w ramach realizacji obowiązków własnych jednostek samorządu terytorialnego, Samorządy zawodowe, Szkoły i inne placówki systemu oświaty, Uczelnie, Związki zawodowe</w:t>
      </w:r>
    </w:p>
    <w:p w14:paraId="02C512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2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pracownicy zagrożeni zwolnieniem, pracownicy przewidziani do zwolnienia lub osoby zwolnione z przyczyn niedotyczących pracownika</w:t>
      </w:r>
    </w:p>
    <w:p w14:paraId="02C512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2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bezrobotny, kompetencje, kwalifikacje, outplacement, rozwój_zawodowy, szkolenia, zatrudnienie</w:t>
      </w:r>
    </w:p>
    <w:p w14:paraId="02C512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2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12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2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2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2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2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12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12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2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2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WLWK-PLDCO06 - Liczba osób objętych wsparciem z zakresu outplacementu</w:t>
      </w:r>
    </w:p>
    <w:p w14:paraId="02C512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2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2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2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2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WLWK-PL0CO01 - Liczba projektów, w których sfinansowano koszty racjonalnych usprawnień dla osób z niepełnosprawnościami</w:t>
      </w:r>
    </w:p>
    <w:p w14:paraId="02C512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12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12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2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2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02C512A4" w14:textId="5F60395F"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WLWK-PLDCR02 - Liczba osób, które w wyniku realizacji wsparcia z zakresu</w:t>
      </w:r>
      <w:r w:rsidR="002D509E">
        <w:t xml:space="preserve"> </w:t>
      </w:r>
      <w:r>
        <w:t>outplacementu/poprawy środowiska pracy podjęły pracę lub kontynuowały zatrudnienie</w:t>
      </w:r>
    </w:p>
    <w:p w14:paraId="02C512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PROG-FESLR-21 - Liczba osób, które uzyskały kwalifikacje cyfrowe po opuszczeniu programu</w:t>
      </w:r>
    </w:p>
    <w:p w14:paraId="02C512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12A7"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56" w:name="_Toc235079794"/>
      <w:r>
        <w:rPr>
          <w:rFonts w:ascii="Calibri" w:hAnsi="Calibri" w:cs="Calibri"/>
          <w:i w:val="0"/>
          <w:sz w:val="32"/>
        </w:rPr>
        <w:t>Priorytet FESL.06 Fundusze Europejskie dla edukacji</w:t>
      </w:r>
      <w:bookmarkEnd w:id="56"/>
    </w:p>
    <w:p w14:paraId="02C512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12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12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12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02C512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12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02C512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12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12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12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256 750 582,00</w:t>
      </w:r>
    </w:p>
    <w:p w14:paraId="02C512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12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234 323 557,00</w:t>
      </w:r>
    </w:p>
    <w:p w14:paraId="02C512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12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2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12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2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lastRenderedPageBreak/>
        <w:t>Odsetek dla regionów przejściowych</w:t>
      </w:r>
    </w:p>
    <w:p w14:paraId="02C512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2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2B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7" w:name="_Toc235079795"/>
      <w:r>
        <w:rPr>
          <w:rFonts w:ascii="Calibri" w:hAnsi="Calibri" w:cs="Calibri"/>
          <w:sz w:val="32"/>
        </w:rPr>
        <w:t>Działanie FESL.06.01 Edukacja przedszkolna</w:t>
      </w:r>
      <w:bookmarkEnd w:id="57"/>
    </w:p>
    <w:p w14:paraId="02C512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2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02C512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2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45 742 479,00</w:t>
      </w:r>
    </w:p>
    <w:p w14:paraId="02C512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2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43 201 230,00</w:t>
      </w:r>
    </w:p>
    <w:p w14:paraId="02C512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2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148 - Wsparcie na rzecz wczesnej edukacji i opieki nad dzieckiem (z wyłączeniem infrastruktury)</w:t>
      </w:r>
    </w:p>
    <w:p w14:paraId="02C512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2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 w ramach edukacji przedszkolnej ukierunkowane zostanie na podniesienie jakości i oferty usług, w szczególności w zakresie organizacji zajęć wspierających ogólny rozwój psychofizyczny dzieci, wczesne diagnozowanie deficytów rozwojowych i potencjałów, zajęcia specjalistyczne, rozwijające kompetencje kluczowe oraz z zakresu preorientacji zawodowej.</w:t>
      </w:r>
      <w:r>
        <w:br/>
        <w:t xml:space="preserve">Typy projektów: </w:t>
      </w:r>
      <w:r>
        <w:br/>
        <w:t>1.</w:t>
      </w:r>
      <w:r>
        <w:tab/>
        <w:t>Wsparcie edukacji przedszkolnej poprzez organizację zajęć dodatkowych, edukację włączającą oraz doposażenie,</w:t>
      </w:r>
      <w:r>
        <w:br/>
        <w:t>2.</w:t>
      </w:r>
      <w:r>
        <w:tab/>
        <w:t>Tworzenie nowych miejsc opieki wraz z doposażeniem.</w:t>
      </w:r>
      <w:r>
        <w:br/>
      </w:r>
      <w:r>
        <w:br/>
        <w:t>Typ 1: Wsparcie edukacji przedszkolnej poprzez organizację zajęć dodatkowych, edukację włączającą oraz doposażenie</w:t>
      </w:r>
      <w:r>
        <w:br/>
        <w:t xml:space="preserve">Wsparcie może obejmować m.in: </w:t>
      </w:r>
      <w:r>
        <w:br/>
        <w:t xml:space="preserve">a. organizację zajęć wspierających ogólny rozwój psychofizyczny dzieci, wczesne diagnozowanie deficytów rozwojowych i potencjałów, zajęć specjalistycznych, rozwijających kompetencje kluczowe oraz z zakresu preorientacji zawodowej, zajęć kształtujących świadomość ekologiczną, uwrażliwiającą na zmiany klimatu i potrzeby zielonej gospodarki. Uzupełniająco działania upowszechniające wśród dzieci </w:t>
      </w:r>
      <w:r>
        <w:lastRenderedPageBreak/>
        <w:t>postawy prozdrowotne, z uwzględnieniem wsparcia elementów infrastruktury sportowej/prozdrowotnej placówek edukacyjnych;</w:t>
      </w:r>
      <w:r>
        <w:br/>
        <w:t>b. zapewnienie niezbędnej pomocy pedagogicznej, psychologicznej;</w:t>
      </w:r>
      <w:r>
        <w:br/>
        <w:t>c. integrację dzieci z różnych środowisk we współpracy z rodzicami/opiekunami;</w:t>
      </w:r>
      <w:r>
        <w:br/>
        <w:t xml:space="preserve">d. podnoszenie kwalifikacji zawodowych, umiejętności i kompetencji kadry pedagogicznej, niepedagogicznej oraz kadry zarządzającej szkół i placówek; </w:t>
      </w:r>
      <w:r>
        <w:br/>
        <w:t>e. podnoszenie umiejętności kadry oraz rodziców/opiekunów dzieci do potrzeb edukacji ogólnodostępnej, oraz kompetencji w zapobieganiu dyskryminacji i przemocy rówieśniczej motywowanej uprzedzeniami oraz w zakresie procesu integracji (na przykład dzieci ukraińskich) i radzeniu sobie z ich trudnościami związanymi z doświadczeniem traumy wojennej i migracji;</w:t>
      </w:r>
      <w:r>
        <w:br/>
        <w:t>f. dostosowanie i wyposażenie placówek w zakresie niezbędnym do realizacji celu projektu.</w:t>
      </w:r>
      <w:r>
        <w:br/>
        <w:t xml:space="preserve"> </w:t>
      </w:r>
      <w:r>
        <w:br/>
        <w:t>Typ 2: Tworzenie nowych miejsc opieki wraz z doposażeniem</w:t>
      </w:r>
      <w:r>
        <w:br/>
        <w:t xml:space="preserve">Wsparcie obejmuje utworzenie nowych miejsc przedszkolnych w liczbie odpowiadającej faktycznemu i prognozowanemu zapotrzebowaniu na usługi edukacji przedszkolnej na terenie danej gminy/miasta, na których są one tworzone w tym adaptacja oraz dostosowanie pomieszczeń do potrzeb osób z niepełnosprawnościami i/lub doposażenie danej placówki w pomoce dydaktyczne. W ramach utworzenia nowych miejsc wychowania przedszkolnego można sfinansować między innymi koszty zatrudnienia nauczycieli/personelu zatrudnionego w OWP (ośrodek wychowania przedszkolnego), dostosowanie/adaptację pomieszczenia na salę dla nowej grupy, jej wyposażenie, a także koszty wyżywienia dzieci. </w:t>
      </w:r>
      <w:r>
        <w:br/>
        <w:t>Tworzenie nowych miejsc wychowania przedszkolnego możliwe będzie na obszarach cechujących się deficytem miejsc w stosunku do potrzeb.</w:t>
      </w:r>
      <w:r>
        <w:br/>
        <w:t>Maksymalny dopuszczalny poziom cross-financingu wynosi 30% finansowania i każdorazowo zostanie doprecyzowany w regulaminie wyboru projektów przy założeniu, że poziom cross-financingu dla priorytetu wynosi max. 15%.</w:t>
      </w:r>
      <w:r>
        <w:br/>
        <w:t>Doposażenie (w tym wsparcie elementów infrastruktury) będzie możliwe wyłącznie, jeżeli będzie to konieczne do osiągnięcia celu projektu.</w:t>
      </w:r>
      <w:r>
        <w:br/>
        <w:t>Wsparcie kadry szkół i placówek będzie komplementarne do rozwiązań wdrażanych na poziomie krajowym.</w:t>
      </w:r>
      <w:r>
        <w:br/>
        <w:t>Docelowy poziom wkładu własnego i budżetu państwa zostanie określony w regulaminie wyboru projektów.</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2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2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2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12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2C512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2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2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2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2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2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2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2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2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2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02C512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2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02C512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2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2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2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2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2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2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2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wspierające biznes, Organizacje społeczne i związki wyznaniowe, Partnerzy społeczni, Przedsiębiorstwa</w:t>
      </w:r>
    </w:p>
    <w:p w14:paraId="02C512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2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edukacja_włączająca, szkolenie_nauczycieli, wychowanie_przedszkolne</w:t>
      </w:r>
    </w:p>
    <w:p w14:paraId="02C512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2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2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2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2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2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WLWK-PLFCO02 - Liczba dofinansowanych miejsc wychowania przedszkolnego</w:t>
      </w:r>
    </w:p>
    <w:p w14:paraId="02C512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WLWK-PLFCO09 - Liczba dzieci lub uczniów o specjalnych potrzebach rozwojowych i edukacyjnych, którzy zostali objęci usługami asystenta</w:t>
      </w:r>
    </w:p>
    <w:p w14:paraId="02C512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WLWK-PLFCO01 - Liczba dzieci objętych dodatkowymi zajęciami w edukacji przedszkolnej</w:t>
      </w:r>
    </w:p>
    <w:p w14:paraId="02C512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WLWK-PLFCO08 - Liczba dzieci/uczniów o specjalnych potrzebach rozwojowych i edukacyjnych, objętych wsparciem</w:t>
      </w:r>
    </w:p>
    <w:p w14:paraId="02C512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WLWK-PLFCO11 - Liczba miejsc wychowania przedszkolnego dostosowanych do potrzeb dzieci z niepełnosprawnością</w:t>
      </w:r>
    </w:p>
    <w:p w14:paraId="02C512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2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02C512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2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2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WLWK-PLFCO12 - Liczba ogólnodostępnych szkół i placówek systemu oświaty objętych wsparciem w zakresie edukacji włączającej</w:t>
      </w:r>
    </w:p>
    <w:p w14:paraId="02C512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2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2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2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2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2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WLWK-PL0CO01 - Liczba projektów, w których sfinansowano koszty racjonalnych usprawnień dla osób z niepełnosprawnościami</w:t>
      </w:r>
    </w:p>
    <w:p w14:paraId="02C512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WLWK-PLFCO14 - Liczba przedstawicieli kadr szkół i placówek systemu oświaty objętych wsparciem świadczonym przez szkoły ćwiczeń</w:t>
      </w:r>
    </w:p>
    <w:p w14:paraId="02C512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02C512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02C512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2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02C512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2F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8" w:name="_Toc235079796"/>
      <w:r>
        <w:rPr>
          <w:rFonts w:ascii="Calibri" w:hAnsi="Calibri" w:cs="Calibri"/>
          <w:sz w:val="32"/>
        </w:rPr>
        <w:t>Działanie FESL.06.02 Kształcenie ogólne</w:t>
      </w:r>
      <w:bookmarkEnd w:id="58"/>
    </w:p>
    <w:p w14:paraId="02C512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2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02C512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2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71 207 466,00</w:t>
      </w:r>
    </w:p>
    <w:p w14:paraId="02C513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3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63 711 945,00</w:t>
      </w:r>
    </w:p>
    <w:p w14:paraId="02C513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3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149 - Wsparcie na rzecz szkolnictwa podstawowego i średniego (z wyłączeniem infrastruktury)</w:t>
      </w:r>
    </w:p>
    <w:p w14:paraId="02C513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305" w14:textId="09EB268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zakresie kształcenia ogólnego (podstawowego i ponadpodstawowego z wyłączeniem szkół specjalnych i prowadzących kształcenie zawodowe) przewiduje się realizację następujących rodzajów działań/typów projektów:</w:t>
      </w:r>
      <w:r>
        <w:br/>
        <w:t>1.</w:t>
      </w:r>
      <w:r>
        <w:tab/>
        <w:t>Podniesienie jakości edukacji w kształceniu ogólnym</w:t>
      </w:r>
      <w:r>
        <w:br/>
        <w:t>2.</w:t>
      </w:r>
      <w:r>
        <w:tab/>
        <w:t>Edukacja włączająca w kształceniu ogólnym</w:t>
      </w:r>
      <w:r>
        <w:br/>
        <w:t>3.</w:t>
      </w:r>
      <w:r>
        <w:tab/>
        <w:t>Organizacja pozaszkolnych form kształcenia</w:t>
      </w:r>
      <w:r>
        <w:br/>
        <w:t>4.</w:t>
      </w:r>
      <w:r>
        <w:tab/>
        <w:t>Doradztwo edukacyjno-zawodowe w kształceniu ogólnym</w:t>
      </w:r>
      <w:r>
        <w:br/>
        <w:t xml:space="preserve">Typ 1 Podniesienie jakości edukacji w kształceniu ogólnym </w:t>
      </w:r>
      <w:r>
        <w:br/>
      </w:r>
      <w:r>
        <w:lastRenderedPageBreak/>
        <w:t>a)</w:t>
      </w:r>
      <w:r>
        <w:tab/>
        <w:t>Kompleksowe wsparcie szkół, uczniów oraz kadry placówek kształcenia ogólnego podnoszące jakość edukacji, obejmujące m. in.:</w:t>
      </w:r>
      <w:r>
        <w:br/>
        <w:t>•</w:t>
      </w:r>
      <w:r>
        <w:tab/>
        <w:t xml:space="preserve">rozwój kompetencji zielonych, kluczowych, innowacyjnych, uniwersalnych, </w:t>
      </w:r>
      <w:r>
        <w:br/>
        <w:t>•</w:t>
      </w:r>
      <w:r>
        <w:tab/>
        <w:t xml:space="preserve">rozwój kompetencji zawodowych, w tym w zakresie zdobywania dodatkowych umiejętności i kwalifikacji rynkowych funkcjonujących w ZSK (Zintegrowany System Kwalifikacji) dla uczniów szkół średnich, </w:t>
      </w:r>
      <w:r>
        <w:br/>
        <w:t>•</w:t>
      </w:r>
      <w:r>
        <w:tab/>
        <w:t xml:space="preserve">rozwój kompetencji związanych z cyfryzacją edukacji (uzupełniająco w stosunku do wsparcia realizowanego na poziomie krajowym). </w:t>
      </w:r>
      <w:r>
        <w:br/>
        <w:t>•</w:t>
      </w:r>
      <w:r>
        <w:tab/>
        <w:t>działania upowszechniające wśród dzieci i młodzieży postawy prozdrowotne (uzupełniająco).</w:t>
      </w:r>
      <w:r>
        <w:br/>
        <w:t>b)</w:t>
      </w:r>
      <w:r>
        <w:tab/>
        <w:t>Wykorzystanie w procesie kształcenia potencjału otoczenia społeczno-gospodarczego szkół, w tym przedsiębiorców, uczelni wyższych, instytutów badawczo-rozwojowych.</w:t>
      </w:r>
      <w:r>
        <w:br/>
        <w:t>c)</w:t>
      </w:r>
      <w:r>
        <w:tab/>
        <w:t>Współpraca placówek edukacyjnych, umożliwiająca tworzenie sieci współpracy czy uczenie się oparte na wypracowanych rozwiązaniach (np. poprzez model szkoły ćwiczeń).</w:t>
      </w:r>
      <w:r>
        <w:br/>
        <w:t>d)</w:t>
      </w:r>
      <w:r>
        <w:tab/>
        <w:t>Podnoszenie kwalifikacji zawodowych, umiejętności i kompetencji kadry pedagogicznej, niepedagogicznej oraz kadry zarządzającej szkół i placówek,</w:t>
      </w:r>
      <w:r w:rsidR="002D509E">
        <w:t xml:space="preserve"> </w:t>
      </w:r>
      <w:r>
        <w:t xml:space="preserve">oraz kompetencji w zapobieganiu dyskryminacji i przemocy rówieśniczej motywowanej uprzedzeniami oraz w zakresie procesu integracji uczniów (na przykład ukraińskich) i radzeniu sobie z ich trudnościami związanymi z doświadczeniem traumy wojennej i migracji. </w:t>
      </w:r>
      <w:r>
        <w:br/>
        <w:t>e)</w:t>
      </w:r>
      <w:r>
        <w:tab/>
        <w:t xml:space="preserve">Dostosowanie i wyposażenie placówek edukacyjnych. </w:t>
      </w:r>
      <w:r>
        <w:br/>
        <w:t>Typ 2 Edukacja włączająca w kształceniu ogólnym</w:t>
      </w:r>
      <w:r>
        <w:br/>
        <w:t>Wsparcie obejmuje:</w:t>
      </w:r>
      <w:r>
        <w:br/>
        <w:t>a)</w:t>
      </w:r>
      <w:r>
        <w:tab/>
        <w:t>Bezpośrednie wsparcie uczniów kształcenia ogólnego ze specjalnymi potrzebami rozwojowymi i edukacyjnymi zwiększające ich udział w edukacji ogólnodostępnej, w tym zapewnienie niezbędnej pomocy pedagogicznej, psychologicznej, zatrudnienie personelu wspomagającego uczniów ze specjalnymi potrzebami edukacyjnymi (pedagog specjalny, pomoc nauczyciela, asystent ucznia), integracja uczniów z różnych środowisk, prowadzona także we współpracy z rodzicami/opiekunami, wsparcie świetlic szkolnych, działania indywidualizujące proces kształcenia, wsparcie uczniów uzdolnionych, szczególnie znajdujących się w niekorzystnej sytuacji.</w:t>
      </w:r>
      <w:r>
        <w:br/>
        <w:t>b)</w:t>
      </w:r>
      <w:r>
        <w:tab/>
        <w:t>Podnoszenie umiejętności kadry oraz rodziców/opiekunów dzieci do potrzeb edukacji ogólnodostępnej oraz w zakresie kompetencji w zapobieganiu dyskryminacji i przemocy rówieśniczej motywowanej uprzedzeniami oraz w zakresie procesu integracji uczniów (na przykład ukraińskich) i radzeniu sobie z ich trudnościami związanymi z doświadczeniem traumy wojennej i migracji.</w:t>
      </w:r>
      <w:r>
        <w:br/>
        <w:t>c)</w:t>
      </w:r>
      <w:r>
        <w:tab/>
        <w:t xml:space="preserve">Kompleksowe dostosowanie i wyposażenie placówek edukacyjnych </w:t>
      </w:r>
      <w:r>
        <w:br/>
        <w:t>Typ 3 Organizacja pozaszkolnych form kształcenia</w:t>
      </w:r>
      <w:r w:rsidR="002D509E">
        <w:t xml:space="preserve"> </w:t>
      </w:r>
      <w:r>
        <w:br/>
        <w:t>Wsparcie obejmuje poszerzanie kompetencji i umiejętności uczniów poprzez organizację pozaszkolnych form kształcenia (m.in. kwalifikacyjnych kursów zawodowych i kursów umiejętności zawodowych) oraz kursów umożliwiających uzyskanie uczniom dodatkowych umiejętności, uprawnień i kwalifikacji zawodowych podwyższających ich szanse na skuteczną integrację z rynkiem pracy.</w:t>
      </w:r>
      <w:r>
        <w:br/>
        <w:t>Typ 4 Doradztwo edukacyjno-zawodowe w kształceniu ogólnym</w:t>
      </w:r>
      <w:r>
        <w:br/>
        <w:t xml:space="preserve">Wsparcie obejmuje działania (komplementarne do systemowych rozwiązań wspierających system doradztwa edukacyjno-zawodowego na poziomie krajowym) poprawiające dostępność i efektywność usług doradztwa edukacyjno-zawodowego, realizowanego w różnych formach (np.: poprzez mentoring, </w:t>
      </w:r>
      <w:r>
        <w:lastRenderedPageBreak/>
        <w:t xml:space="preserve">job shadowing, a na niższych szczeblach edukacji w formie preorientacji i orientacji zawodowej). Świadczone usługi doradztwa będą wolne od stereotypów płciowych w wyborze ścieżek edukacyjnych i zawodowych, służyć będą zwiększaniu zainteresowania kierunkami niestereotypowymi dla danej płci, zwłaszcza STEM wśród dziewcząt. </w:t>
      </w:r>
      <w:r>
        <w:br/>
        <w:t>Doposażenie (w tym wsparcie elementów infrastruktury) będzie możliwe wyłącznie, jeżeli będzie to konieczne do osiągnięcia celu projektu.</w:t>
      </w:r>
      <w:r>
        <w:br/>
        <w:t>Wsparcie kadry szkół i placówek będzie komplementarne do rozwiązań wdrażanych na poziomie krajowym.</w:t>
      </w:r>
      <w:r>
        <w:br/>
        <w:t>Maksymalny dopuszczalny poziom cross-financingu wynosi 30% finansowania i każdorazowo zostanie doprecyzowany w regulaminie wyboru projektów, przy założeniu, że poziom cross-financingu dla priorytetu wynosi max. 15%.</w:t>
      </w:r>
      <w:r>
        <w:br/>
        <w:t>Docelowy poziom wkładu własnego i budżetu państwa zostanie określony w regulaminie wyboru projektów.</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3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3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3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3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3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3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3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3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3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3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3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02C513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3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3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02C513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3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3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3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3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3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3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3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3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3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Partnerzy społeczni, Przedsiębiorstwa</w:t>
      </w:r>
    </w:p>
    <w:p w14:paraId="02C513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3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doradztwo_zawodowe, edukacja, edukacja_włączająca, kompetencje, kompetencje_cyfrowe, kompetencje_kluczowe, kompetencje_społeczne, kompetencje_zawodowe, kwalifikacje, szkolenia</w:t>
      </w:r>
    </w:p>
    <w:p w14:paraId="02C513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3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3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3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3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3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WLWK-PLFCO09 - Liczba dzieci lub uczniów o specjalnych potrzebach rozwojowych i edukacyjnych, którzy zostali objęci usługami asystenta</w:t>
      </w:r>
    </w:p>
    <w:p w14:paraId="02C513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WLWK-PLFCO08 - Liczba dzieci/uczniów o specjalnych potrzebach rozwojowych i edukacyjnych, objętych wsparciem</w:t>
      </w:r>
    </w:p>
    <w:p w14:paraId="02C513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3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02C513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WLWK-EECO19 - Liczba objętych wsparciem mikro-, małych i średnich przedsiębiorstw (w tym spółdzielni i przedsiębiorstw społecznych)</w:t>
      </w:r>
    </w:p>
    <w:p w14:paraId="02C513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3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WLWK-PLFCO12 - Liczba ogólnodostępnych szkół i placówek systemu oświaty objętych wsparciem w zakresie edukacji włączającej</w:t>
      </w:r>
    </w:p>
    <w:p w14:paraId="02C513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3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3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3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3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3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3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WLWK-PLFCO14 - Liczba przedstawicieli kadr szkół i placówek systemu oświaty objętych wsparciem świadczonym przez szkoły ćwiczeń</w:t>
      </w:r>
    </w:p>
    <w:p w14:paraId="02C513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02C513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02C513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WLWK-PLFCO03 - Liczba uczniów szkół i placówek systemu oświaty prowadzących kształcenie ogólne objętych wsparciem</w:t>
      </w:r>
    </w:p>
    <w:p w14:paraId="02C513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WLWK-PLFCO13 - Liczba uczniów uczestniczących w doradztwie zawodowym</w:t>
      </w:r>
    </w:p>
    <w:p w14:paraId="02C513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3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02C513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WLWK-PLFCR01 - Liczba uczniów, którzy nabyli kwalifikacje po opuszczeniu programu</w:t>
      </w:r>
    </w:p>
    <w:p w14:paraId="02C513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33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9" w:name="_Toc235079797"/>
      <w:r>
        <w:rPr>
          <w:rFonts w:ascii="Calibri" w:hAnsi="Calibri" w:cs="Calibri"/>
          <w:sz w:val="32"/>
        </w:rPr>
        <w:t>Działanie FESL.06.03 Kształcenie zawodowe</w:t>
      </w:r>
      <w:bookmarkEnd w:id="59"/>
    </w:p>
    <w:p w14:paraId="02C513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3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w:t>
      </w:r>
      <w:r>
        <w:lastRenderedPageBreak/>
        <w:t>także kształcenie i uczenie się dorosłych, w tym ułatwianie mobilności edukacyjnej dla wszystkich i dostępności dla osób z niepełnosprawnościami</w:t>
      </w:r>
    </w:p>
    <w:p w14:paraId="02C513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3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24 485 294,00</w:t>
      </w:r>
    </w:p>
    <w:p w14:paraId="02C513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3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23 125 000,00</w:t>
      </w:r>
    </w:p>
    <w:p w14:paraId="02C513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3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149 - Wsparcie na rzecz szkolnictwa podstawowego i średniego (z wyłączeniem infrastruktury)</w:t>
      </w:r>
    </w:p>
    <w:p w14:paraId="02C513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345" w14:textId="498DAC71"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Przewiduje się realizację następujących rodzajów działań/typów projektów:</w:t>
      </w:r>
      <w:r>
        <w:br/>
        <w:t>1.</w:t>
      </w:r>
      <w:r>
        <w:tab/>
        <w:t>Staże uczniowskie w kształceniu zawodowym</w:t>
      </w:r>
      <w:r>
        <w:br/>
        <w:t>2.</w:t>
      </w:r>
      <w:r>
        <w:tab/>
        <w:t>Dostosowanie kształcenia zawodowego do potrzeb rynku pracy</w:t>
      </w:r>
      <w:r>
        <w:br/>
        <w:t>3.</w:t>
      </w:r>
      <w:r>
        <w:tab/>
        <w:t>Edukacja włączająca w kształceniu zawodowym</w:t>
      </w:r>
      <w:r>
        <w:br/>
        <w:t>4.</w:t>
      </w:r>
      <w:r>
        <w:tab/>
        <w:t>Organizacja pozaszkolnych form kształcenia</w:t>
      </w:r>
      <w:r>
        <w:br/>
        <w:t xml:space="preserve">Typ 1 Staże uczniowskie w kształceniu zawodowym. </w:t>
      </w:r>
      <w:r>
        <w:br/>
        <w:t>Wsparcie obejmuje: Rozwijanie i upowszechnianie kształcenia praktycznego, staże realizowane we współpracy z przedsiębiorcami.</w:t>
      </w:r>
      <w:r>
        <w:br/>
        <w:t>Staże uczniowskie będą rozliczane w oparciu o stawkę jednostkową. Metodologia stawki jednostkowej jest dostępna w Wytycznych dotyczących realizacji projektów z udziałem środków Europejskiego Funduszu Społecznego Plus w regionalnych programach na lata 2021–2027</w:t>
      </w:r>
      <w:r>
        <w:br/>
        <w:t xml:space="preserve">Typ 2 Dostosowanie kształcenia zawodowego do potrzeb rynku pracy. </w:t>
      </w:r>
      <w:r>
        <w:br/>
        <w:t>Możliwe do realizacji formy wsparcia w ramach tego typu projektu to m.in:</w:t>
      </w:r>
      <w:r>
        <w:br/>
        <w:t>a.</w:t>
      </w:r>
      <w:r>
        <w:tab/>
        <w:t>Kompleksowe wsparcie szkół, uczniów oraz kadry placówek kształcenia zawodowego podnoszące jakość edukacji, obejmujące m. in. rozwój kompetencji zielonych, kluczowych, innowacyjnych, uniwersalnych, zawodowych, w tym w zakresie zdobywania dodatkowych umiejętności i kwalifikacji rynkowych funkcjonujących w ZSK dla uczniów, jak również związanych z cyfryzacją edukacji (uzupełniająco w stosunku do wsparcia realizowanego na poziomie krajowym). Uzupełniająco działania upowszechniające wśród uczniów i młodzieży postawy prozdrowotne..</w:t>
      </w:r>
      <w:r>
        <w:br/>
        <w:t>b.</w:t>
      </w:r>
      <w:r>
        <w:tab/>
        <w:t>Działania (komplementarne do systemowych rozwiązań wspierających system doradztwa edukacyjno-zawodowego na poziomie krajowym) poprawiające dostępność i efektywność usług doradztwa edukacyjno-zawodowego, realizowanego w różnych formach (np.: poprzez mentoring, job shadowing ). Świadczone usługi doradztwa będą wolne od stereotypów płciowych w wyborze ścieżek edukacyjnych i zawodowych, służyć będą zwiększaniu zainteresowania kierunkami niestereotypowymi dla danej płci, zwłaszcza STEM wśród dziewcząt.</w:t>
      </w:r>
      <w:r>
        <w:br/>
        <w:t>c.</w:t>
      </w:r>
      <w:r>
        <w:tab/>
        <w:t>Wykorzystanie w procesie kształcenia potencjału otoczenia społeczno-gospodarczego szkół, w tym przedsiębiorców, uczelni wyższych, instytutów badawczo-rozwojowych w uzupełnieniu do wsparcia realizowanego z poziomu krajowego.</w:t>
      </w:r>
      <w:r>
        <w:br/>
      </w:r>
      <w:r>
        <w:lastRenderedPageBreak/>
        <w:t>d.</w:t>
      </w:r>
      <w:r>
        <w:tab/>
        <w:t>Podnoszenie kwalifikacji zawodowych, umiejętności i kompetencji kadry pedagogicznej (w tym zwłaszcza kadry kształcenia zawodowego/branżowego, instruktorów praktycznej nauki zawodu), niepedagogicznej oraz kadry zarządzającej szkół i placówek, w tym centrów kształcenia zawodowego i ustawicznego,</w:t>
      </w:r>
      <w:r w:rsidR="002D509E">
        <w:t xml:space="preserve"> </w:t>
      </w:r>
      <w:r>
        <w:t>oraz kompetencji w zapobieganiu dyskryminacji i przemocy rówieśniczej motywowanej uprzedzeniami oraz w zakresie procesu integracji uczniów (na przykład ukraińskich) i radzeniu sobie z ich trudnościami związanymi z doświadczeniem traumy wojennej i migracji.</w:t>
      </w:r>
      <w:r>
        <w:br/>
        <w:t>e.</w:t>
      </w:r>
      <w:r>
        <w:tab/>
        <w:t>Dostosowanie i wyposażenie placówek edukacyjnych.</w:t>
      </w:r>
      <w:r>
        <w:br/>
        <w:t xml:space="preserve">Typ 3 Edukacja włączająca w kształceniu zawodowym. </w:t>
      </w:r>
      <w:r>
        <w:br/>
        <w:t>Możliwe do realizacji formy wsparcia w ramach tego typu projektu to m.in:</w:t>
      </w:r>
      <w:r>
        <w:br/>
        <w:t>a.</w:t>
      </w:r>
      <w:r>
        <w:tab/>
        <w:t>Bezpośrednie wsparcie uczniów kształcenia zawodowego ze specjalnymi potrzebami rozwojowymi i edukacyjnymi zwiększające ich udział w edukacji ogólnodostępnej, w tym zapewnienie niezbędnej pomocy pedagogicznej, psychologicznej, integracja dzieci z różnych środowisk, prowadzona także we współpracy z rodzicami/opiekunami, działania indywidualizujące proces kształcenia, wsparcie uczniów uzdolnionych, szczególnie znajdujących się w niekorzystnej sytuacji.</w:t>
      </w:r>
      <w:r>
        <w:br/>
        <w:t>b.</w:t>
      </w:r>
      <w:r>
        <w:tab/>
        <w:t>Podnoszenie umiejętności kadry oraz rodziców/opiekunów dzieci do potrzeb edukacji ogólnodostępnej,</w:t>
      </w:r>
      <w:r w:rsidR="002D509E">
        <w:t xml:space="preserve"> </w:t>
      </w:r>
      <w:r>
        <w:t>oraz kompetencji w zapobieganiu dyskryminacji i przemocy rówieśniczej motywowanej uprzedzeniami oraz w zakresie procesu integracji uczniów (na przykład ukraińskich) i radzeniu sobie z ich trudnościami związanymi z doświadczeniem traumy wojennej i migracji.</w:t>
      </w:r>
      <w:r>
        <w:br/>
        <w:t>c.</w:t>
      </w:r>
      <w:r>
        <w:tab/>
        <w:t>Kompleksowe dostosowanie i wyposażenie placówek edukacyjnych.</w:t>
      </w:r>
      <w:r w:rsidR="002D509E">
        <w:t xml:space="preserve"> </w:t>
      </w:r>
      <w:r>
        <w:br/>
        <w:t xml:space="preserve"> Typ 4 Organizacja pozaszkolnych form kształcenia. </w:t>
      </w:r>
      <w:r>
        <w:br/>
        <w:t>Poszerzanie kompetencji i umiejętności uczniów poprzez organizację pozaszkolnych form kształcenia (m.in. kwalifikacyjnych kursów zawodowych i kursów umiejętności zawodowych) oraz kursów umożliwiających uzyskanie uczniom dodatkowych umiejętności, uprawnień i kwalifikacji zawodowych podwyższających ich szanse na skuteczną integrację z rynkiem pracy.</w:t>
      </w:r>
      <w:r>
        <w:br/>
        <w:t>Doposażenie (w tym wsparcie elementów infrastruktury) będzie możliwe wyłącznie, jeżeli będzie to konieczne do osiągnięcia celu projektu.</w:t>
      </w:r>
      <w:r>
        <w:br/>
        <w:t>Wsparcie kadry szkół i placówek będzie komplementarne do rozwiązań wdrażanych na poziomie krajowym.</w:t>
      </w:r>
      <w:r>
        <w:br/>
        <w:t>Maksymalny dopuszczalny poziom cross-financingu wynosi 50% finansowania i każdorazowo zostanie doprecyzowany w regulaminie wyboru projektów, przy założeniu, że poziom cross-financingu dla priorytetu wynosi max. 15%.</w:t>
      </w:r>
      <w:r>
        <w:br/>
        <w:t>Docelowy poziom wkładu własnego i budżetu państwa zostanie określony w regulaminie wyboru projektów.</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3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3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3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13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2C513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3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3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3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3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3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stawka jednostkowa w oparciu o metodykę IZ [art. 53(3)(a) CPR], uproszczona metoda rozliczania wydatków w oparciu o projekt budżetu [art. 53(3)(b) CPR]</w:t>
      </w:r>
    </w:p>
    <w:p w14:paraId="02C513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3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3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3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02C513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3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02C513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3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3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3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3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3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3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3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wspierające biznes, Organizacje społeczne i związki wyznaniowe, Przedsiębiorstwa</w:t>
      </w:r>
    </w:p>
    <w:p w14:paraId="02C513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3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doradztwo_zawodowe, kształcenie_kadr, kształcenie_zawodowe, kurs, kwalifikacje, staże, szkolenia</w:t>
      </w:r>
    </w:p>
    <w:p w14:paraId="02C513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3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3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3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3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3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WLWK-PLFCO09 - Liczba dzieci lub uczniów o specjalnych potrzebach rozwojowych i edukacyjnych, którzy zostali objęci usługami asystenta</w:t>
      </w:r>
    </w:p>
    <w:p w14:paraId="02C513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WLWK-PLFCO08 - Liczba dzieci/uczniów o specjalnych potrzebach rozwojowych i edukacyjnych, objętych wsparciem</w:t>
      </w:r>
    </w:p>
    <w:p w14:paraId="02C513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3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02C513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3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3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WLWK-PLFCO12 - Liczba ogólnodostępnych szkół i placówek systemu oświaty objętych wsparciem w zakresie edukacji włączającej</w:t>
      </w:r>
    </w:p>
    <w:p w14:paraId="02C513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3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3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3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3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3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3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WLWK-PLFCO14 - Liczba przedstawicieli kadr szkół i placówek systemu oświaty objętych wsparciem świadczonym przez szkoły ćwiczeń</w:t>
      </w:r>
    </w:p>
    <w:p w14:paraId="02C513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02C513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WLWK-PLFCO07 - Liczba szkół i placówek systemu oświaty objętych wsparciem</w:t>
      </w:r>
    </w:p>
    <w:p w14:paraId="02C513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WLWK-PLFCO04 - Liczba uczniów i słuchaczy szkół i placówek kształcenia zawodowego objętych wsparciem</w:t>
      </w:r>
    </w:p>
    <w:p w14:paraId="02C513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WLWK-PLEFCO05 - Liczba uczniów szkół i placówek kształcenia zawodowego uczestniczących w stażach uczniowskich</w:t>
      </w:r>
    </w:p>
    <w:p w14:paraId="02C513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WLWK-PLFCO13 - Liczba uczniów uczestniczących w doradztwie zawodowym</w:t>
      </w:r>
    </w:p>
    <w:p w14:paraId="02C513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3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02C513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WLWK-PLFCR01 - Liczba uczniów, którzy nabyli kwalifikacje po opuszczeniu programu</w:t>
      </w:r>
    </w:p>
    <w:p w14:paraId="02C513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37C"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0" w:name="_Toc235079798"/>
      <w:r>
        <w:rPr>
          <w:rFonts w:ascii="Calibri" w:hAnsi="Calibri" w:cs="Calibri"/>
          <w:sz w:val="32"/>
        </w:rPr>
        <w:t>Działanie FESL.06.04 Strategiczne projekty dla obszaru edukacji</w:t>
      </w:r>
      <w:bookmarkEnd w:id="60"/>
    </w:p>
    <w:p w14:paraId="02C513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3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02C513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3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33 195 443,00</w:t>
      </w:r>
    </w:p>
    <w:p w14:paraId="02C513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3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31 351 253,00</w:t>
      </w:r>
    </w:p>
    <w:p w14:paraId="02C513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3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148 - Wsparcie na rzecz wczesnej edukacji i opieki nad dzieckiem (z wyłączeniem infrastruktury), 149 - Wsparcie na rzecz szkolnictwa podstawowego i średniego (z wyłączeniem infrastruktury)</w:t>
      </w:r>
    </w:p>
    <w:p w14:paraId="02C513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386" w14:textId="56ACC36E"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realizowane będą przedsięwzięcia wynikające z Kontraktu Programowego o znaczeniu strategicznym dla regionu :</w:t>
      </w:r>
      <w:r>
        <w:br/>
        <w:t>1.</w:t>
      </w:r>
      <w:r>
        <w:tab/>
        <w:t>Wsparcie stypendialne uczniów</w:t>
      </w:r>
      <w:r>
        <w:br/>
        <w:t>2.</w:t>
      </w:r>
      <w:r>
        <w:tab/>
        <w:t>Zwiększenie atrakcyjności kształcenia zawodowego w województwie śląskim</w:t>
      </w:r>
      <w:r>
        <w:br/>
        <w:t>3.</w:t>
      </w:r>
      <w:r>
        <w:tab/>
        <w:t>Inicjatywy na rzecz badania potrzeb edukacyjnych w województwie śląskim</w:t>
      </w:r>
      <w:r>
        <w:br/>
        <w:t>4.</w:t>
      </w:r>
      <w:r>
        <w:tab/>
        <w:t xml:space="preserve">Działania upowszechniające pozaszkolne formy edukacji z wykorzystaniem potencjału </w:t>
      </w:r>
      <w:r>
        <w:lastRenderedPageBreak/>
        <w:t>Planetarium Śląskiego</w:t>
      </w:r>
      <w:r>
        <w:br/>
        <w:t>Typ 1: Wsparcie stypendialne uczniów</w:t>
      </w:r>
      <w:r>
        <w:br/>
        <w:t>Wsparcie uczniów /uczennic uzdolnionych, w szczególności znajdujących się w niekorzystnej sytuacji, które może polegać m.in. na:.</w:t>
      </w:r>
      <w:r>
        <w:br/>
        <w:t>a)</w:t>
      </w:r>
      <w:r>
        <w:tab/>
        <w:t>wsparciu finansowym (wypłata stypendium),</w:t>
      </w:r>
      <w:r>
        <w:br/>
        <w:t>b)</w:t>
      </w:r>
      <w:r>
        <w:tab/>
        <w:t xml:space="preserve">realizacji indywidualnych planów rozwoju, </w:t>
      </w:r>
      <w:r>
        <w:br/>
        <w:t>c)</w:t>
      </w:r>
      <w:r>
        <w:tab/>
        <w:t xml:space="preserve">indywidualnej opiece dydaktycznej, </w:t>
      </w:r>
      <w:r>
        <w:br/>
        <w:t>d)</w:t>
      </w:r>
      <w:r>
        <w:tab/>
        <w:t xml:space="preserve">współpracy z uczelniami wyższymi znajdującymi się na terenie województwa śląskiego. </w:t>
      </w:r>
      <w:r>
        <w:br/>
        <w:t>Typ 2: Zwiększenie atrakcyjności kształcenia zawodowego w województwie śląskim:</w:t>
      </w:r>
      <w:r>
        <w:br/>
        <w:t>Działania projektowe mogą polegać m.in. na:</w:t>
      </w:r>
      <w:r>
        <w:br/>
        <w:t>a) realizacji wsparcia dla kadry pedagogicznej szkół o profilu zawodowym,</w:t>
      </w:r>
      <w:r>
        <w:br/>
        <w:t>b)</w:t>
      </w:r>
      <w:r>
        <w:tab/>
        <w:t>przeprowadzeniu doradztwa edukacyjno-zawodowego dla uczniów i uczennic ze szkół o profilu zawodowym. Świadczone usługi doradztwa będą wolne od stereotypów płciowych w wyborze ścieżek edukacyjnych i zawodowych, służyć będą zwiększaniu zainteresowania kierunkami niestereotypowymi dla danej płci, zwłaszcza STEM wśród dziewcząt.,</w:t>
      </w:r>
      <w:r>
        <w:br/>
        <w:t>c)</w:t>
      </w:r>
      <w:r>
        <w:tab/>
        <w:t>stażach uczniowskich realizowanych w rzeczywistych warunkach pracy u pracodawców,</w:t>
      </w:r>
      <w:r>
        <w:br/>
        <w:t>d)</w:t>
      </w:r>
      <w:r>
        <w:tab/>
        <w:t xml:space="preserve">kursach, szkoleniach, zajęciach umożliwiających uzyskanie niezbędnych na rynku pracy kwalifikacji lub umiejętności i wzmacniających zdolność do zatrudnienia, </w:t>
      </w:r>
      <w:r>
        <w:br/>
        <w:t>e)</w:t>
      </w:r>
      <w:r>
        <w:tab/>
        <w:t>działaniach mających na celu budowanie efektywnej i trwałej współpracy szkół prowadzących kształcenie zawodowe w regionie z przedsiębiorcami, polegającej na bezpośrednim zaangażowaniu pracodawców w proces kształcenia praktycznej nauki zawodu,</w:t>
      </w:r>
      <w:r>
        <w:br/>
        <w:t>f)</w:t>
      </w:r>
      <w:r>
        <w:tab/>
        <w:t>podejmowaniu działań dążących do zwiększenia roli pracodawców oraz uczelni wyższych, w kształtowaniu oferty szkół na poziomie branżowym i technicznym,</w:t>
      </w:r>
      <w:r>
        <w:br/>
        <w:t>g)</w:t>
      </w:r>
      <w:r w:rsidR="002D509E">
        <w:t xml:space="preserve"> </w:t>
      </w:r>
      <w:r>
        <w:t>realizowaniu działań na rzecz kreowania i podtrzymywania pozytywnego wizerunku szkół prowadzących kształcenie zawodowe, w celu zbudowania wizerunku atrakcyjnej ścieżki edukacji opartej na dobrej jakości kształcenia ogólnego oraz wysokiej jakości kształcenia w zawodzie.</w:t>
      </w:r>
      <w:r>
        <w:br/>
        <w:t>Działania podejmowane w ramach projektu niekonkurencyjnego w zakresie podtrzymywania pozytywnego wizerunku kształcenia zawodowego będą komplementarne względem projektów realizowanych na poziomie krajowym.</w:t>
      </w:r>
      <w:r>
        <w:br/>
        <w:t>Typ 3: Inicjatywy na rzecz badania</w:t>
      </w:r>
      <w:r w:rsidR="002D509E">
        <w:t xml:space="preserve"> </w:t>
      </w:r>
      <w:r>
        <w:t>potrzeb edukacyjnych w województwie śląskim</w:t>
      </w:r>
      <w:r>
        <w:br/>
        <w:t>Działania monitorujące regionalne potrzeby edukacyjne służące profilowaniu wsparcia, z uwzględnieniem bieżącej identyfikacji potrzeb i trendów, w tym takich, których wsparcie pozwoli na osiągnięcie efektu skali, lub takich które względem specyfiki regionalnej w sposób niewystarczający w stosunku do potrzeb regionu będą wspierane z poziomu krajowego, które mogą polegać m.in. na: .</w:t>
      </w:r>
      <w:r>
        <w:br/>
        <w:t>a)</w:t>
      </w:r>
      <w:r>
        <w:tab/>
        <w:t>monitorowaniu zmian społeczno-gospodarczych zachodzących na śląskim rynku pracy, a także monitorowaniu zmian i potrzeb regionalnych w obszarze edukacji,</w:t>
      </w:r>
      <w:r>
        <w:br/>
        <w:t>b)</w:t>
      </w:r>
      <w:r>
        <w:tab/>
        <w:t>budowaniu sieci powiązań pomiędzy instytucjami działającymi w obszarze rynku pracy i edukacji,</w:t>
      </w:r>
      <w:r>
        <w:br/>
        <w:t>c)</w:t>
      </w:r>
      <w:r>
        <w:tab/>
        <w:t>wypracowaniu rozwiązań w obszarze edukacji w regionie, będących odpowiedzią na zdiagnozowane potrzeby,</w:t>
      </w:r>
      <w:r>
        <w:br/>
        <w:t>d)</w:t>
      </w:r>
      <w:r w:rsidR="002D509E">
        <w:t xml:space="preserve"> </w:t>
      </w:r>
      <w:r>
        <w:t>prowadzeniu badań i analiz (jednorazowych, które będą odpowiadały na bieżące potrzeby, cykliczne - powtarzanych co roku oraz analiz desk research wybranych problemów/zagadnień związanych z obszarem edukacji) z wykorzystaniem optymalnych metod i technik badawczych oraz</w:t>
      </w:r>
      <w:r w:rsidR="002D509E">
        <w:t xml:space="preserve"> </w:t>
      </w:r>
      <w:r>
        <w:t xml:space="preserve">budowaniu na </w:t>
      </w:r>
      <w:r>
        <w:lastRenderedPageBreak/>
        <w:t>podstawie wyników ww. wniosków i rekomendacji, wykorzystywanych do kształtowania polityki edukacyjnej w regionie,</w:t>
      </w:r>
      <w:r>
        <w:br/>
        <w:t>e)</w:t>
      </w:r>
      <w:r>
        <w:tab/>
        <w:t>udoskonaleniu funkcjonujących rozwiązań w zakresie wymiany i udostępniania informacji o rynku pracy i edukacji i jego otoczeniu,</w:t>
      </w:r>
      <w:r>
        <w:br/>
        <w:t>f)</w:t>
      </w:r>
      <w:r w:rsidR="002D509E">
        <w:t xml:space="preserve"> </w:t>
      </w:r>
      <w:r>
        <w:t>udostępnianiu narzędzi/instrumentów, przydatnych dla osób i instytucji działających w obszarze edukacji.</w:t>
      </w:r>
      <w:r>
        <w:br/>
        <w:t xml:space="preserve">Działania realizowane w typie 3 (monitorowanie regionalnych potrzeb edukacyjnych) będą komplementarne do projektów realizowanych z FERS oraz KPO. </w:t>
      </w:r>
      <w:r>
        <w:br/>
        <w:t xml:space="preserve">Typ 4: Działania upowszechniające pozaszkolne formy edukacji z wykorzystaniem potencjału Planetarium Śląskiego </w:t>
      </w:r>
      <w:r>
        <w:br/>
        <w:t xml:space="preserve">Wsparcie może obejmować m.in: </w:t>
      </w:r>
      <w:r>
        <w:br/>
        <w:t>a)</w:t>
      </w:r>
      <w:r>
        <w:tab/>
        <w:t>kampanię informacyjną</w:t>
      </w:r>
      <w:r w:rsidR="002D509E">
        <w:t xml:space="preserve"> </w:t>
      </w:r>
      <w:r>
        <w:t>mającą na celu m.in.. upowszechnianie pozaszkolnych form edukacji skierowaną do placówek, tj. przedszkoli i szkół podstawowych jak również do rodziców i opiekunów dzieci z terenu całego województwa śląskiego.</w:t>
      </w:r>
      <w:r>
        <w:br/>
        <w:t>b)</w:t>
      </w:r>
      <w:r>
        <w:tab/>
        <w:t>przygotowanie scenariuszy zajęć dydaktycznych, seansów dla dzieci, warsztatów dla dzieci oraz nauczycieli</w:t>
      </w:r>
      <w:r w:rsidR="002D509E">
        <w:t xml:space="preserve"> </w:t>
      </w:r>
      <w:r>
        <w:t>z uwzględnieniem działań przygotowawczych (szkoleniowych, kursów doskonalących, warsztatów) dla kadry Planetarium, kadry prowadzącej zajęcia dydaktyczne oraz kadry placówek uczestniczących</w:t>
      </w:r>
      <w:r w:rsidR="002D509E">
        <w:t xml:space="preserve"> </w:t>
      </w:r>
      <w:r>
        <w:t>w projekcie w zakresie wspomagającym zdobycie nowych, dostosowanie i</w:t>
      </w:r>
      <w:r w:rsidR="002D509E">
        <w:t xml:space="preserve"> </w:t>
      </w:r>
      <w:r>
        <w:t>wykorzystanie już zdobytych umiejętności, kompetencji w procesie dydaktycznym.</w:t>
      </w:r>
      <w:r>
        <w:br/>
        <w:t>c)</w:t>
      </w:r>
      <w:r>
        <w:tab/>
        <w:t xml:space="preserve">zatrudnienie nauczycieli do prowadzenia warsztatów w ramach projektu </w:t>
      </w:r>
      <w:r>
        <w:br/>
        <w:t>d)</w:t>
      </w:r>
      <w:r>
        <w:tab/>
        <w:t>pomoce dydaktyczne/wyposażenie/ doposażenie/przygotowanie infrastruktury Planetarium w zakresie niezbędnym do realizacji działań w projekcie i realizacji ścieżki edukacyjnej</w:t>
      </w:r>
      <w:r w:rsidR="002D509E">
        <w:t xml:space="preserve"> </w:t>
      </w:r>
      <w:r>
        <w:br/>
        <w:t>e)</w:t>
      </w:r>
      <w:r>
        <w:tab/>
        <w:t xml:space="preserve">seanse, zajęcia i warsztaty dydaktyczne dla dzieci </w:t>
      </w:r>
      <w:r>
        <w:br/>
        <w:t>Działania podejmowane w ramach projektu niekonkurencyjnego w zakresie podtrzymywania pozytywnego wizerunku kształcenia zawodowego będą komplementarne względem projektów realizowanych na poziomie krajowym.</w:t>
      </w:r>
      <w:r>
        <w:br/>
        <w:t>Maksymalny dopuszczalny poziom cross-financingu wynosi 30% finansowania i każdorazowo zostanie doprecyzowany w regulaminie wyboru projektów, przy założeniu, że poziom cross-financingu dla priorytetu wynosi max. 15%.</w:t>
      </w:r>
      <w:r>
        <w:br/>
        <w:t>Docelowy poziom wkładu własnego i budżetu państwa zostanie określony w regulaminie wyboru projektów.</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3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3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3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3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90</w:t>
      </w:r>
    </w:p>
    <w:p w14:paraId="02C513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3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3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3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3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3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stawka jednostkowa w oparciu o metodykę IZ [art. 53(3)(a) CPR]</w:t>
      </w:r>
    </w:p>
    <w:p w14:paraId="02C513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3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3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3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02C513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3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02C513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3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3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3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3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3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3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3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13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3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doradztwo_zawodowe, kompetencje_kluczowe, kompetencje_zawodowe, kształcenie_zawodowe, promocja_kształcenia_zawodowego, staże, szkolenia, warsztaty, wsparcie_dla_młodych</w:t>
      </w:r>
    </w:p>
    <w:p w14:paraId="02C513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02C513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3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3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WLWK-PLFCO01 - Liczba dzieci objętych dodatkowymi zajęciami w edukacji przedszkolnej</w:t>
      </w:r>
    </w:p>
    <w:p w14:paraId="02C513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WLWK-PLFCO08 - Liczba dzieci/uczniów o specjalnych potrzebach rozwojowych i edukacyjnych, objętych wsparciem</w:t>
      </w:r>
    </w:p>
    <w:p w14:paraId="02C513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3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02C513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3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3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3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3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3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3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3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3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02C513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02C513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WLWK-PLFCO04 - Liczba uczniów i słuchaczy szkół i placówek kształcenia zawodowego objętych wsparciem</w:t>
      </w:r>
    </w:p>
    <w:p w14:paraId="02C513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WLWK-PLEFCO05 - Liczba uczniów szkół i placówek kształcenia zawodowego uczestniczących w stażach uczniowskich</w:t>
      </w:r>
    </w:p>
    <w:p w14:paraId="02C513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WLWK-PLFCO03 - Liczba uczniów szkół i placówek systemu oświaty prowadzących kształcenie ogólne objętych wsparciem</w:t>
      </w:r>
    </w:p>
    <w:p w14:paraId="02C513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WLWK-PLFCO13 - Liczba uczniów uczestniczących w doradztwie zawodowym</w:t>
      </w:r>
    </w:p>
    <w:p w14:paraId="02C513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PROG-FESLO-28 - Liczba przeprowadzonych badań w obszarze edukacji</w:t>
      </w:r>
    </w:p>
    <w:p w14:paraId="02C513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3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WLWK-PLFCR02 - Liczba przedstawicieli kadry szkół i placówek systemu oświaty, którzy uzyskali kwalifikacje po opuszczeniu programu</w:t>
      </w:r>
    </w:p>
    <w:p w14:paraId="02C513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WLWK-PLFCR01 - Liczba uczniów, którzy nabyli kwalifikacje po opuszczeniu programu</w:t>
      </w:r>
    </w:p>
    <w:p w14:paraId="02C513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PROG-FESLR-23 - Liczba opublikowanych badań/rekomendacji/dobrych praktyk w obszarze edukacji</w:t>
      </w:r>
    </w:p>
    <w:p w14:paraId="02C513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3BC"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1" w:name="_Toc235079799"/>
      <w:r>
        <w:rPr>
          <w:rFonts w:ascii="Calibri" w:hAnsi="Calibri" w:cs="Calibri"/>
          <w:sz w:val="32"/>
        </w:rPr>
        <w:t>Działanie FESL.06.05 Wsparcie edukacyjne społeczności objętych LSR</w:t>
      </w:r>
      <w:bookmarkEnd w:id="61"/>
    </w:p>
    <w:p w14:paraId="02C513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3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02C513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3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8 275 446,00</w:t>
      </w:r>
    </w:p>
    <w:p w14:paraId="02C513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3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7 034 129,00</w:t>
      </w:r>
    </w:p>
    <w:p w14:paraId="02C513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3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149 - Wsparcie na rzecz szkolnictwa podstawowego i średniego (z wyłączeniem infrastruktury)</w:t>
      </w:r>
    </w:p>
    <w:p w14:paraId="02C513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3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formuły bezpośredniej LSR, zaplanowano z FE SL 2021-2027 wyłącznie realizację projektów w formule grantowej udzielanych przez LGD (jako beneficjenta projektu grantowego) na realizację inicjatyw oddolnych wynikających z LSR i zgłaszanych przez lokalną społeczność.</w:t>
      </w:r>
      <w:r>
        <w:br/>
        <w:t>Wszystkie projekty składane przez LGD, będą realizowane zgodnie z zasadami realizacji projektów grantowych określonymi w art. 17 ust. 4a-4g ustawy o rozwoju lokalnym z udziałem lokalnej społeczności. LGD nie będą mogły realizować grantów, natomiast będą realizować inne zadania wskazane w ww. ustawach, w tym: nabory wniosków dla grantobiorców, dokonywać oceny zgodności tych wniosków z LSR oraz lokalnymi kryteriami wyboru operacji, zawierać z grantobiorcami umowy o powierzenie grantu, rozliczać wydatki poniesione przez grantobiorców, monitorować i kontrolować realizację zadań realizowanych przez grantobiorców oraz odzyskiwać granty w przypadku ich wykorzystania niezgodnie z umową o powierzenie grantu.</w:t>
      </w:r>
      <w:r>
        <w:br/>
      </w:r>
      <w:r>
        <w:br/>
        <w:t>Przewiduje się realizację następującego typu projektu:</w:t>
      </w:r>
      <w:r>
        <w:br/>
        <w:t>Typ 1. Działania na rzecz edukacji pozaformalnej dzieci i młodzieży na terenie objętym LSR</w:t>
      </w:r>
      <w:r>
        <w:br/>
        <w:t xml:space="preserve">Wsparcie obejmie projekty w obszarze edukacji pozaformalnej skierowane do dzieci i młodzieży </w:t>
      </w:r>
      <w:r>
        <w:lastRenderedPageBreak/>
        <w:t xml:space="preserve">zamieszkującej obszary objęte Lokalną Strategią Rozwoju. </w:t>
      </w:r>
      <w:r>
        <w:br/>
        <w:t xml:space="preserve">W ramach Działania wybierane będą przez LGD granty, które przyczynią się do wsparcia różnych form rozwijających kompetencje społeczne, obywatelskie, świadomość i ekspresję kulturalną, przedsiębiorczość, umiejętności ogólne, wiedzę oraz zainteresowania dzieci i młodzieży, poprzez m.in.: warsztaty, zajęcia dodatkowe oraz inne formy wsparcia wynikające z potrzeb społeczności lokalnych w zakresie edukacji pozaformalnej dzieci i młodzieży. W ramach grantów możliwymi do wdrażania będą zatem m.in.: zajęcia o charakterze edukacyjnym przybliżające walory historyczne regionu, wsparcie procesu edukacyjnego przez pomoc w nauce i przezwyciężanie trudności szkolnych, pomoc w odkryciu potencjału i predyspozycji zawodowych, rozwój zdolności interpersonalnych i postaw prospołecznych, zapewnienie bezpiecznych form spędzania czasu wolnego, rozwój talentów i zainteresowań, promowanie zdrowego stylu życia, przeciwdziałanie uzależnieniom, akcje profilaktyczne, edukacja kulturalna, zajęcia rozwijające sprawność ruchową, bezpieczeństwo w sieci, edukacja ekologiczna, warsztaty z pierwszej pomocy, promowanie właściwych postaw w sytuacjach zagrożenia. </w:t>
      </w:r>
      <w:r>
        <w:br/>
        <w:t>Ze względu na oddolny charakter RLKS ostateczny zakres działań musi być zgodny ze strategią LSR.</w:t>
      </w:r>
      <w:r>
        <w:br/>
        <w:t>W ramach projektów grantowych, LGD będą finansować wydatki na Koszty Zarządzania i Animacji Strategią LSR zgodnie z odpowiednią stawką ryczałtową wskazaną w Regulaminie wyboru projektów. Poszczególne kategorie kosztów, które zostaną objęte stawką ryczałtową dotyczyć będą zakresu działań wyszczególnionych w art. 34 ust. 1 lit. c) rozporządzenia ogólnego tj. zarządzanie strategią, jej monitorowanie i ewaluację oraz jej animowanie, w tym ułatwianie wymiany między zainteresowanymi stronami.</w:t>
      </w:r>
      <w:r>
        <w:br/>
        <w:t>W ramach Działania nie będą wspierane miejskie LSR.</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3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3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3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3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3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3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3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3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3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3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stawka ryczałtowa w oparciu o metodykę IZ [art. 53(3)(a) CPR], uproszczona metoda rozliczania wydatków w oparciu o projekt budżetu [art. 53(3)(b) CPR]</w:t>
      </w:r>
    </w:p>
    <w:p w14:paraId="02C513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3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3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3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3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3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3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3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3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3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3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3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RLKS</w:t>
      </w:r>
    </w:p>
    <w:p w14:paraId="02C513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3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społeczne i związki wyznaniowe</w:t>
      </w:r>
    </w:p>
    <w:p w14:paraId="02C513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3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Lokalne Grupy Działania</w:t>
      </w:r>
    </w:p>
    <w:p w14:paraId="02C513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3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edukacja, lokalne_inicjatywy, obszary_wiejskie, wzmacnianie_potencjału_społecznego</w:t>
      </w:r>
    </w:p>
    <w:p w14:paraId="02C513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3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3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3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3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3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WLWK-EECO18 - Liczba objętych wsparciem podmiotów administracji publicznej lub służb publicznych na szczeblu krajowym, regionalnym lub lokalnym</w:t>
      </w:r>
    </w:p>
    <w:p w14:paraId="02C513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3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3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3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3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3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3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WLWK-PL0CO03 - Ludność objęta projektami w ramach strategii zintegrowanego rozwoju terytorialnego</w:t>
      </w:r>
    </w:p>
    <w:p w14:paraId="02C513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WLWK-PL0CO04 - Wspierane strategie rozwoju lokalnego kierowanego przez społeczność</w:t>
      </w:r>
    </w:p>
    <w:p w14:paraId="02C513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3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02C513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PROG-FESLR-02 - Liczba zrealizowanych inicjatyw lokalnych o charakterze edukacyjnym</w:t>
      </w:r>
    </w:p>
    <w:p w14:paraId="02C513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3F5"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2" w:name="_Toc235079800"/>
      <w:r>
        <w:rPr>
          <w:rFonts w:ascii="Calibri" w:hAnsi="Calibri" w:cs="Calibri"/>
          <w:sz w:val="32"/>
        </w:rPr>
        <w:t>Działanie FESL.06.06 Kształcenie osób dorosłych - EFS+</w:t>
      </w:r>
      <w:bookmarkEnd w:id="62"/>
    </w:p>
    <w:p w14:paraId="02C513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3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02C513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3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3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3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63 392 167,00</w:t>
      </w:r>
    </w:p>
    <w:p w14:paraId="02C513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3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56 719 308,00</w:t>
      </w:r>
    </w:p>
    <w:p w14:paraId="02C513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3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151 - Wsparcie na rzecz kształcenia dorosłych (z wyłączeniem infrastruktury)</w:t>
      </w:r>
    </w:p>
    <w:p w14:paraId="02C514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401" w14:textId="6804DB0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Typy projektów:</w:t>
      </w:r>
      <w:r w:rsidR="002D509E">
        <w:t xml:space="preserve"> </w:t>
      </w:r>
      <w:r>
        <w:br/>
      </w:r>
      <w:r>
        <w:br/>
        <w:t>1.</w:t>
      </w:r>
      <w:r>
        <w:tab/>
        <w:t>Działania w zakresie kompleksowego wsparcia osób dorosłych, które z własnej inicjatywy planują podnieść swoje umiejętności/kompetencje lub zmienić/nabyć nowe kwalifikacje, umożliwiające rozwój w kierunku umiejętności</w:t>
      </w:r>
      <w:r w:rsidR="002D509E">
        <w:t xml:space="preserve"> </w:t>
      </w:r>
      <w:r>
        <w:t>zawodowych, cyfrowych, niezbędnych do podjęcia pracy w sektorze zielonej gospodarki, podstawowych i przekrojowych oraz kwalifikacji funkcjonujących w Zintegrowanym Systemie Kwalifikacji, jak również ich weryfikacja (walidacja, certyfikacja).</w:t>
      </w:r>
      <w:r>
        <w:br/>
      </w:r>
      <w:r>
        <w:br/>
        <w:t>Wybór usługi rozwojowej poprzedzony zostanie usługą doradztwa edukacyjno - zawodowego, której celem będzie właściwe dopasowanie potrzeb uczestników do zmieniającego się rynku pracy.</w:t>
      </w:r>
      <w:r>
        <w:br/>
      </w:r>
      <w:r>
        <w:br/>
        <w:t>Możliwe będzie także formalne potwierdzenie efektów uczenia się nabytych w ramach edukacji formalnej, pozaformalnej i w wyniku nieformalnego uczenia się.</w:t>
      </w:r>
      <w:r w:rsidR="002D509E">
        <w:t xml:space="preserve"> </w:t>
      </w:r>
      <w:r>
        <w:br/>
        <w:t xml:space="preserve">Szczegóły dotyczące potwierdzania efektów uczenia zostaną wskazane w Regulaminie wyboru. </w:t>
      </w:r>
      <w:r>
        <w:br/>
      </w:r>
      <w:r>
        <w:br/>
        <w:t>Wszystkie osoby dorosłe zainteresowane podniesieniem swoich umiejętności/kompetencji/kwalifikacji mają dostęp do dodatkowego wsparcia, tj.:</w:t>
      </w:r>
      <w:r>
        <w:br/>
      </w:r>
      <w:r>
        <w:br/>
        <w:t>- analizy potrzeb rozwojowych, w tym z wykorzystaniem modelu Bilansu Kompetencji;</w:t>
      </w:r>
      <w:r>
        <w:br/>
        <w:t>- wsparcia w wyborze odpowiednich usług rozwojowych w BUR;</w:t>
      </w:r>
      <w:r>
        <w:br/>
        <w:t xml:space="preserve">- identyfikacji nabytych umiejętności/kompetencji oraz wsparcia w ich walidacji i certyfikacji, w tym zachęcenie do założenia „Mojego portfolio” lub konta Europass; </w:t>
      </w:r>
      <w:r>
        <w:br/>
        <w:t>- zbudowania motywacji do rozwoju tychże umiejętności/kompetencji/kwalifikacji.</w:t>
      </w:r>
      <w:r>
        <w:br/>
      </w:r>
      <w:r>
        <w:br/>
        <w:t xml:space="preserve">WARUNKI: </w:t>
      </w:r>
      <w:r>
        <w:br/>
      </w:r>
      <w:r>
        <w:br/>
        <w:t xml:space="preserve">1. Brak możliwości finansowania usługi rozwojowej tożsamej, finansowanej z FST w ramach Działania 10.17 Kształcenie osób dorosłych – FST. </w:t>
      </w:r>
      <w:r>
        <w:br/>
      </w:r>
      <w:r>
        <w:br/>
        <w:t xml:space="preserve">2. Usługi realizowane będą w formule operatorskiej poprzez Podmiotowy System Finansowania (PSF) – za pośrednictwem Bazy Usług Rozwojowych (BUR), zgodnie z warunkami określonymi w rozdziale 8 Podmiotowy System Finansowania Wytycznych dotyczących realizacji projektów z udziałem środków EFS+ na lata 2021-2027. </w:t>
      </w:r>
      <w:r>
        <w:br/>
        <w:t>Nabory prowadzone w ramach działania będą miały na celu wybór Operatorów w drodze konkursu.</w:t>
      </w:r>
      <w:r>
        <w:br/>
      </w:r>
      <w:r>
        <w:br/>
        <w:t xml:space="preserve">3. W przypadku wspierania kompetencji cyfrowych, przy ocenie ich poziomu, wykorzystane zostanie narzędzie „Europejskie narzędzie do oceny poziomu kompetencji cyfrowych"* lub inne narzędzie </w:t>
      </w:r>
      <w:r>
        <w:lastRenderedPageBreak/>
        <w:t>rekomendowane i udostępnione przez ministra właściwego ds. pracy, lub inne narzędzie służące ocenie kompetencji cyfrowych, będące w dyspozycji Wnioskodawcy.</w:t>
      </w:r>
      <w:r>
        <w:br/>
        <w:t>* https://europa.eu/europass/digitalskills/screen/home?lang=pl</w:t>
      </w:r>
      <w:r>
        <w:br/>
      </w:r>
      <w:r>
        <w:br/>
        <w:t xml:space="preserve">4. Uczestnikami projektu mogą być osoby z całego obszaru województwa śląskiego. </w:t>
      </w:r>
      <w:r>
        <w:br/>
      </w:r>
      <w:r>
        <w:br/>
        <w:t>5. Wsparcie kierowane jest w szczególności do osób z najtrudniejszych grup docelowych.</w:t>
      </w:r>
      <w:r>
        <w:br/>
      </w:r>
      <w:r>
        <w:br/>
        <w:t xml:space="preserve">Aby wykluczyć występowanie przesłanek pomocy publicznej usługi rozwojowe muszą odbywać się z własnej inicjatywy uczestnika, nie mogą się odbywać w godzinach świadczenia pracy - na podstawie warunków zatrudnienia*, a wszystkie podmioty biorące udział w realizacji projektu muszą być niezależne od pracodawcy uczestnika usługi. </w:t>
      </w:r>
      <w:r>
        <w:br/>
        <w:t xml:space="preserve">Usługi rozwojowe muszą odbywać się poza miejscem pracy uczestników a nabór na usługę musi być otwarty dla wszystkich zainteresowanych. </w:t>
      </w:r>
      <w:r>
        <w:br/>
        <w:t xml:space="preserve">Usługi rozwojowe nie mogą dotyczyć obowiązkowych szkoleń wynikających z przepisów prawa. </w:t>
      </w:r>
      <w:r>
        <w:br/>
        <w:t>*</w:t>
      </w:r>
      <w:r w:rsidR="002D509E">
        <w:t xml:space="preserve"> </w:t>
      </w:r>
      <w:r>
        <w:t>Dotyczy czasu pracy, w którym pracownik pozostaje w dyspozycji pracodawcy w zakładzie pracy lub innym miejscu wyznaczonym do wykonywania pracy, w tym czas, w którym pracownik jest gotowy do świadczenia pracy.</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rsidR="002D509E">
        <w:t xml:space="preserve"> </w:t>
      </w:r>
      <w:r>
        <w:br/>
      </w:r>
      <w:r>
        <w:br/>
        <w:t>Dopuszczalne będą działania na rzecz podniesienia kompetencji i świadomości w zakresie cyberbezpieczeństwa, jako uzupełnienie wsparcia zaplanowanego w tym celu szczegółowym.</w:t>
      </w:r>
    </w:p>
    <w:p w14:paraId="02C514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4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4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4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4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4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02C514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4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4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4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14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4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4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4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4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4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4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4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4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4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02C514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4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Inne instytucje systemu ochrony zdrowia, Inne podmioty systemu szkolnictwa wyższego i nauki, Instytucje rynku pracy, Jednostki organizacyjne działające w imieniu jednostek samorządu terytorialnego, Jednostki Samorządu Terytorialnego, MŚP, Niepubliczne zakłady opieki zdrowotnej, Organizacje zrzeszające pracodawców, Ośrodki kształcenia dorosłych, Podmioty świadczące usługi publiczne w ramach realizacji obowiązków własnych jednostek samorządu terytorialnego, Publiczne zakłady opieki zdrowotnej, Samorządy zawodowe, Uczelnie, Związki zawodowe</w:t>
      </w:r>
    </w:p>
    <w:p w14:paraId="02C514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4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baza_usług_rozwojowych, edukacja, kadry_medyczne, kadry_okołomedyczne, kompetencje, kształcenie_dorosłych, kształcenie_zawodowe, kwalifikacje, PSF, uczenie_się_przez_całe_życie</w:t>
      </w:r>
    </w:p>
    <w:p w14:paraId="02C514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4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4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4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4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02C514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4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14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14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WLWK-PLGCO01 - Liczba osób dorosłych objętych usługami rozwojowymi</w:t>
      </w:r>
    </w:p>
    <w:p w14:paraId="02C514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4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4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4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4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02C51428" w14:textId="0A51E25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w:t>
      </w:r>
      <w:r w:rsidR="002D509E">
        <w:t xml:space="preserve"> </w:t>
      </w:r>
      <w:r>
        <w:t>objętych wsparciem w programie</w:t>
      </w:r>
    </w:p>
    <w:p w14:paraId="02C514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4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4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4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PROG-FESLO-26 - Liczba osób o niskich kwalifikacjach objętych wsparciem w programie</w:t>
      </w:r>
    </w:p>
    <w:p w14:paraId="02C514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14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14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4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02C514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4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02C514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43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3" w:name="_Toc235079801"/>
      <w:r>
        <w:rPr>
          <w:rFonts w:ascii="Calibri" w:hAnsi="Calibri" w:cs="Calibri"/>
          <w:sz w:val="32"/>
        </w:rPr>
        <w:t>Działanie FESL.06.07 Upskilling pathways - RLKS</w:t>
      </w:r>
      <w:bookmarkEnd w:id="63"/>
    </w:p>
    <w:p w14:paraId="02C514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4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w:t>
      </w:r>
      <w:r>
        <w:lastRenderedPageBreak/>
        <w:t>umiejętności na podstawie potrzeb rynku pracy, ułatwianie zmian ścieżki kariery zawodowej i wspieranie mobilności zawodowej</w:t>
      </w:r>
    </w:p>
    <w:p w14:paraId="02C514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4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4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4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3 830 226,00</w:t>
      </w:r>
    </w:p>
    <w:p w14:paraId="02C514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4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3 255 692,00</w:t>
      </w:r>
    </w:p>
    <w:p w14:paraId="02C514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4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02C514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440" w14:textId="5AF07769"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Zgodnie z Programem FE SL 2021-2027 wdrażanie Działania zaplanowane jest w ramach formuły bezpośredniej Lokalnej Strategii Rozwoju (LSR). Wsparcie realizowane będzie wyłącznie w formule grantowej. Lokalna Grupa Działania (LGD), jako beneficjent projektu grantowego, będzie udzielała grantów na realizację inicjatyw oddolnych wynikających z LSR i zgłaszanych przez lokalną społeczność. Zasady udzielania grantów zostaną zatwierdzone przez Zarząd Województwa.</w:t>
      </w:r>
      <w:r>
        <w:br/>
      </w:r>
      <w:r>
        <w:br/>
        <w:t xml:space="preserve">Wszystkie projekty składane przez LGD, będą realizowane zgodnie z zasadami realizacji projektów grantowych określonymi w art. 17 ust. 4a-4g ustawy o rozwoju lokalnym z udziałem lokalnej społeczności. </w:t>
      </w:r>
      <w:r>
        <w:br/>
      </w:r>
      <w:r>
        <w:br/>
        <w:t>LGD nie będą mogły realizować grantów, natomiast będą realizować inne zadania wskazane w ww. ustawach, w tym: nabory wniosków dla grantobiorców, dokonywać oceny zgodności tych wniosków z LSR oraz lokalnymi kryteriami wyboru operacji, zawierać z grantobiorcami umowy o powierzenie grantu, rozliczać wydatki poniesione przez grantobiorców, monitorować i kontrolować realizację zadań realizowanych przez grantobiorców oraz odzyskiwać granty w przypadku ich wykorzystania niezgodnie z umową o powierzenie grantu.</w:t>
      </w:r>
      <w:r>
        <w:br/>
      </w:r>
      <w:r>
        <w:br/>
        <w:t xml:space="preserve">W ramach Działania wybierane będą przez LGD granty, które obejmować będą wsparcie edukacyjne skierowane do osób dorosłych o niskich kompetencjach i umiejętnościach podstawowych (rozumianych jako: podstawowe zdolności w zakresie rozumienia i tworzenia informacji, rozwijania i wykorzystania myślenia matematycznego oraz korzystania z technologii cyfrowych), posiadających największą lukę kompetencyjną stanowiącą także barierę dla konkurencyjności tych osób na rynku pracy. </w:t>
      </w:r>
      <w:r>
        <w:br/>
      </w:r>
      <w:r>
        <w:br/>
        <w:t xml:space="preserve">Wsparcie w zakresie podnoszenia kompetencji i umiejętności podstawowych, w tym cyfrowych poprzez tzw. ścieżki podnoszenia umiejętności “upskilling pathways”, realizowane zgodnie z zaleceniem Rady z </w:t>
      </w:r>
      <w:r>
        <w:lastRenderedPageBreak/>
        <w:t xml:space="preserve">dnia 19 grudnia 2016 r. w sprawie ścieżek poprawy umiejętności: nowe możliwości dla dorosłych (2016/C 484/01). </w:t>
      </w:r>
      <w:r>
        <w:br/>
      </w:r>
      <w:r>
        <w:br/>
        <w:t xml:space="preserve">Wsparcie w ramach ścieżek poprawy umiejętności składa się z: </w:t>
      </w:r>
      <w:r>
        <w:br/>
      </w:r>
      <w:r>
        <w:br/>
        <w:t>1.</w:t>
      </w:r>
      <w:r>
        <w:tab/>
        <w:t xml:space="preserve">możliwości przejścia oceny, np. audytu umiejętności, w celu określenia posiadanych umiejętności i potrzeb w zakresie ich poprawy, oraz </w:t>
      </w:r>
      <w:r>
        <w:br/>
        <w:t>2.</w:t>
      </w:r>
      <w:r>
        <w:tab/>
        <w:t xml:space="preserve">dopasowanych i elastycznych ofert uczenia się, zgodnych z wynikami audytu umiejętności, oraz </w:t>
      </w:r>
      <w:r>
        <w:br/>
        <w:t>3.</w:t>
      </w:r>
      <w:r>
        <w:tab/>
        <w:t>walidacji nabytych umiejętności podstawowych lub certyfikowania kwalifikacji.</w:t>
      </w:r>
      <w:r>
        <w:br/>
      </w:r>
      <w:r>
        <w:br/>
        <w:t>WARUNKI:</w:t>
      </w:r>
      <w:r>
        <w:br/>
      </w:r>
      <w:r>
        <w:br/>
        <w:t xml:space="preserve">1. Wsparcie w zakresie podnoszenia umiejętności, kwalifikacji i kompetencji będzie realizowane poza podmiotowym systemem finansowania, bez wykorzystania narzędzia Bazy Usług Rozwojowych. </w:t>
      </w:r>
      <w:r>
        <w:br/>
        <w:t xml:space="preserve">2. Wnioskodawca jest zobligowany zapewnić możliwość przejścia oceny w celu określenia posiadanych umiejętności i potrzeb w zakresie ich poprawy. </w:t>
      </w:r>
      <w:r>
        <w:br/>
        <w:t xml:space="preserve">3. Właściwe dopasowanie do potrzeb uczestników z uwzględnieniem zmian na rynku pracy wynikających m. in. z zapotrzebowania na kompetencje cyfrowe oraz potrzeb zielonej gospodarki. W kontekście zielonej gospodarki kluczowe będą propozycje szkoleniowe, mające na celu rozwój świadomościowy względem tej gospodarki - to jest kształtowania zielonych postaw i zachowań, które ostatecznie służyć będą uzyskiwaniu konkretnych umiejętności zawodowych w obszarze zielonej gospodarki, a co za tym idzie - poprawie dobrobytu, atrakcyjności zawodowej, równości społecznej, a jednocześnie zmniejszaniu ryzyka dla środowiska naturalnego. </w:t>
      </w:r>
      <w:r>
        <w:br/>
        <w:t xml:space="preserve">4. W przypadku kompetencji cyfrowych wsparcie jest realizowane z wykorzystaniem narzędzia do oceny poziomu kompetencji cyfrowych „Europejskie narzędzie do oceny poziomu kompetencji cyfrowych” - aktualnego na dzień ogłoszenia naboru. Narzędzie jest powiązane z „DigComp” dostępnego na stronie https://www.digcomp.pl/. </w:t>
      </w:r>
      <w:r>
        <w:br/>
        <w:t xml:space="preserve">5. Wnioskodawca zapewni walidację nabytych umiejętności podstawowych lub certyfikowanie kwalifikacji, w tym zachęcenie do założenia „Mojego Portfolio” lub konta Europass, które pomaga użytkownikom przedstawić swoje umiejętności, zaplanować ścieżkę edukacyjną i zawodową w Europie. </w:t>
      </w:r>
      <w:r>
        <w:br/>
        <w:t>6. Należy wykorzystywać doświadczenia wypracowane w ramach projektu „Szansa – Nowe możliwości dla dorosłych”</w:t>
      </w:r>
      <w:r w:rsidR="002D509E">
        <w:t xml:space="preserve"> </w:t>
      </w:r>
      <w:r>
        <w:t>https://szansa-power.frse.org.pl/aktualnosci/wsparcie-osob-doroslych-w-podnoszeniu-umiejetnoscipodstawowych-rekomendacje-i-dobre-praktyki/.</w:t>
      </w:r>
      <w:r>
        <w:br/>
        <w:t>7. Aby wykluczyć występowanie pomocy publicznej usługi rozwojowe muszą odbywać się z własnej inicjatywy uczestnika, poza godzinami świadczenia pracy (na podstawie warunków zatrudnienia), a wszystkie podmioty biorące udział w realizacji projektu muszą być niezależne od pracodawcy/uczestnika usługi. Usługi rozwojowe muszą odbywać się poza miejscem pracy uczestników a nabór na usługę musi być otwarty dla wszystkich zainteresowanych. Usługi rozwojowe nie mogą dotyczyć obowiązkowych szkoleń wynikających z przepisów prawa.</w:t>
      </w:r>
      <w:r>
        <w:br/>
      </w:r>
      <w:r>
        <w:br/>
        <w:t>Ze względu na oddolny charakter RLKS ostateczny zakres działań musi być zgodny ze strategią LSR przyjętą przez Zarząd Województwa Śląskiego.</w:t>
      </w:r>
      <w:r>
        <w:br/>
      </w:r>
      <w:r>
        <w:lastRenderedPageBreak/>
        <w:br/>
        <w:t>W ramach projektów grantowych, LGD będą finansować wydatki na Koszty Zarządzania i Animacji Strategią LSR zgodnie z odpowiednią stawką ryczałtową wskazaną w Regulaminie wyboru projektów. Poszczególne kategorie kosztów, które zostaną objęte stawką ryczałtową dotyczyć będą zakresu działań wyszczególnionych w art. 34 ust. 1 lit. c) rozporządzenia ogólnego tj. zarządzanie strategią, jej monitorowanie i ewaluację oraz jej animowanie, w tym ułatwianie wymiany między zainteresowanymi stronami.</w:t>
      </w:r>
      <w:r>
        <w:br/>
      </w:r>
      <w:r>
        <w:br/>
        <w:t>W ramach Działania nie będą wspierane miejskie LSR.</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Dopuszczalne będą działania na rzecz podniesienia kompetencji i świadomości w zakresie cyberbezpieczeństwa, jako uzupełnienie wsparcia zaplanowanego w tym celu szczegółowym.</w:t>
      </w:r>
    </w:p>
    <w:p w14:paraId="02C514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4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4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4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4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4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4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4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4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4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stawka ryczałtowa w oparciu o metodykę IZ [art. 53(3)(a) CPR], uproszczona metoda rozliczania wydatków w oparciu o projekt budżetu [art. 53(3)(b) CPR]</w:t>
      </w:r>
    </w:p>
    <w:p w14:paraId="02C514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4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4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4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4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4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14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4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4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4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RLKS</w:t>
      </w:r>
    </w:p>
    <w:p w14:paraId="02C514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4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społeczne i związki wyznaniowe</w:t>
      </w:r>
    </w:p>
    <w:p w14:paraId="02C514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4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Lokalne Grupy Działania</w:t>
      </w:r>
    </w:p>
    <w:p w14:paraId="02C514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4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dorosłe, które z własnej inicjatywy chcą nabywać kompetencje lub kwalifikacje</w:t>
      </w:r>
    </w:p>
    <w:p w14:paraId="02C514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4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aktywizacja_społeczna, aktywizacja_zawodowa, kompetencje, kształcenie, kształcenie_dorosłych, kształcenie_zawodowe, kwalifikacje, lokalne_inicjatywy, szkolenia, uczenie_się_przez_całe_życie</w:t>
      </w:r>
    </w:p>
    <w:p w14:paraId="02C514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4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4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4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4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4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WLWK-PLGCO03 - Liczba osób dorosłych objętych wsparciem w zakresie umiejętności lub kompetencji podstawowych, realizowanym poza Bazą Usług Rozwojowych </w:t>
      </w:r>
    </w:p>
    <w:p w14:paraId="02C514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4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4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4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02C51467" w14:textId="69A064A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w:t>
      </w:r>
      <w:r w:rsidR="002D509E">
        <w:t xml:space="preserve"> </w:t>
      </w:r>
      <w:r>
        <w:t>objętych wsparciem w programie</w:t>
      </w:r>
    </w:p>
    <w:p w14:paraId="02C514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4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4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WLWK-PL0CO01 - Liczba projektów, w których sfinansowano koszty racjonalnych usprawnień dla osób z niepełnosprawnościami</w:t>
      </w:r>
    </w:p>
    <w:p w14:paraId="02C514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WLWK-PL0CO03 - Ludność objęta projektami w ramach strategii zintegrowanego rozwoju terytorialnego</w:t>
      </w:r>
    </w:p>
    <w:p w14:paraId="02C514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WLWK-PL0CO04 - Wspierane strategie rozwoju lokalnego kierowanego przez społeczność</w:t>
      </w:r>
    </w:p>
    <w:p w14:paraId="02C514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PROG-FESLO-26 - Liczba osób o niskich kwalifikacjach objętych wsparciem w programie</w:t>
      </w:r>
    </w:p>
    <w:p w14:paraId="02C514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14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14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4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02C514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4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02C514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PROG-FESLR-02 - Liczba zrealizowanych inicjatyw lokalnych o charakterze edukacyjnym</w:t>
      </w:r>
    </w:p>
    <w:p w14:paraId="02C514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476"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4" w:name="_Toc235079802"/>
      <w:r>
        <w:rPr>
          <w:rFonts w:ascii="Calibri" w:hAnsi="Calibri" w:cs="Calibri"/>
          <w:sz w:val="32"/>
        </w:rPr>
        <w:t>Działanie FESL.06.08 Upskilling pathways</w:t>
      </w:r>
      <w:bookmarkEnd w:id="64"/>
    </w:p>
    <w:p w14:paraId="02C514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4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02C514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4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4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4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2 151 472,00</w:t>
      </w:r>
    </w:p>
    <w:p w14:paraId="02C514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4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1 925 000,00</w:t>
      </w:r>
    </w:p>
    <w:p w14:paraId="02C514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4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02C514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482" w14:textId="2A06B185"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Wsparcie edukacyjne skierowane zostanie do osób dorosłych o niskich kompetencjach i umiejętnościach </w:t>
      </w:r>
      <w:r>
        <w:lastRenderedPageBreak/>
        <w:t>podstawowych (rozumianych jako: podstawowe zdolności w zakresie rozumienia i tworzenia informacji, rozwijania i wykorzystania myślenia matematycznego oraz korzystania z technologii cyfrowych), posiadających największą lukę kompetencyjną stanowiącą także barierę dla konkurencyjności tych osób na rynku pracy.</w:t>
      </w:r>
      <w:r>
        <w:br/>
      </w:r>
      <w:r>
        <w:br/>
        <w:t>Wsparcie w zakresie podnoszenia kompetencji i umiejętności podstawowych, w tym cyfrowych poprzez tzw. ścieżki podnoszenia umiejętności “upskilling pathways”, realizowane zgodnie z zaleceniem Rady z dnia 19 grudnia 2016 r. w sprawie ścieżek poprawy umiejętności: nowe możliwości dla dorosłych (2016/C 484/01).</w:t>
      </w:r>
      <w:r>
        <w:br/>
      </w:r>
      <w:r>
        <w:br/>
        <w:t>Wsparcie w ramach ścieżek poprawy umiejętności składa się z:</w:t>
      </w:r>
      <w:r>
        <w:br/>
      </w:r>
      <w:r>
        <w:br/>
        <w:t>1. możliwości przejścia oceny, np. audytu umiejętności, w celu określenia posiadanych umiejętności i potrzeb w zakresie ich poprawy, oraz</w:t>
      </w:r>
      <w:r>
        <w:br/>
        <w:t>2. dopasowanych i elastycznych ofert uczenia się, zgodnych z wynikami audytu umiejętności, oraz</w:t>
      </w:r>
      <w:r>
        <w:br/>
        <w:t>3. walidacji nabytych umiejętności podstawowych lub certyfikowania kwalifikacji.</w:t>
      </w:r>
      <w:r>
        <w:br/>
      </w:r>
      <w:r>
        <w:br/>
      </w:r>
      <w:r>
        <w:br/>
        <w:t>WARUNKI:</w:t>
      </w:r>
      <w:r w:rsidR="002D509E">
        <w:t xml:space="preserve"> </w:t>
      </w:r>
      <w:r>
        <w:br/>
      </w:r>
      <w:r>
        <w:br/>
        <w:t>1.</w:t>
      </w:r>
      <w:r w:rsidR="002D509E">
        <w:t xml:space="preserve"> </w:t>
      </w:r>
      <w:r>
        <w:t>Wsparcie w zakresie podnoszenia umiejętności, kwalifikacji i kompetencji będzie realizowane poza podmiotowym systemem finansowania, bez wykorzystania narzędzia Bazy Usług Rozwojowych.</w:t>
      </w:r>
      <w:r>
        <w:br/>
      </w:r>
      <w:r>
        <w:br/>
        <w:t>2. Wnioskodawca jest zobligowany zapewnić możliwość przejścia oceny w celu określenia posiadanych umiejętności i potrzeb w zakresie ich poprawy.</w:t>
      </w:r>
      <w:r>
        <w:br/>
      </w:r>
      <w:r>
        <w:br/>
        <w:t>3. Właściwe dopasowanie do potrzeb uczestników z uwzględnieniem zmian na rynku pracy wynikających m. in. z zapotrzebowania na kompetencje cyfrowe oraz potrzeb zielonej gospodarki.</w:t>
      </w:r>
      <w:r>
        <w:br/>
        <w:t>W kontekście zielonej gospodarki kluczowe będą propozycje szkoleniowe, mające na celu rozwój świadomościowy względem tej gospodarki</w:t>
      </w:r>
      <w:r w:rsidR="002D509E">
        <w:t xml:space="preserve"> </w:t>
      </w:r>
      <w:r>
        <w:t>- to jest kształtowania zielonych postaw i zachowań, które finalnie służyć będą uzyskiwaniu konkretnych umiejętności zawodowych w obszarze zielonej gospodarki, a co za tym idzie - poprawie dobrobytu, atrakcyjności zawodowej, równości społecznej, a jednocześnie zmniejszaniu ryzyka dla środowiska naturalnego.</w:t>
      </w:r>
      <w:r>
        <w:br/>
      </w:r>
      <w:r>
        <w:br/>
        <w:t>4. W przypadku kompetencji cyfrowych wsparcie jest realizowane z wykorzystaniem narzędzia do oceny poziomu kompetencji cyfrowych „Europejskie narzędzie do oceny poziomu kompetencji cyfrowych” - aktualnego na dzień ogłoszenia naboru. Narzędzie jest powiązane z „DigComp”.</w:t>
      </w:r>
      <w:r>
        <w:br/>
      </w:r>
      <w:r>
        <w:br/>
        <w:t xml:space="preserve">5. Wnioskodawca zapewni walidację nabytych umiejętności podstawowych lub certyfikowanie kwalifikacji, w tym zachęcenie do założenia „Mojego Portfolio” lub konta Europass. </w:t>
      </w:r>
      <w:r>
        <w:br/>
      </w:r>
      <w:r>
        <w:br/>
        <w:t>6. Wykorzystanie doświadczeń wypracowanych w</w:t>
      </w:r>
      <w:r w:rsidR="002D509E">
        <w:t xml:space="preserve"> </w:t>
      </w:r>
      <w:r>
        <w:t xml:space="preserve">ramach projektu „Szansa – Nowe możliwości dla </w:t>
      </w:r>
      <w:r>
        <w:lastRenderedPageBreak/>
        <w:t>dorosłych”*.</w:t>
      </w:r>
      <w:r w:rsidR="002D509E">
        <w:t xml:space="preserve"> </w:t>
      </w:r>
      <w:r>
        <w:br/>
        <w:t>* https://szansa-power.frse.org.pl/aktualnosci/wsparcie-osob-doroslych-w-podnoszeniu-umiejetnosci-podstawowych-rekomendacje-i-dobre-praktyki/</w:t>
      </w:r>
      <w:r>
        <w:br/>
      </w:r>
      <w:r>
        <w:br/>
        <w:t>7. Aby wykluczyć występowanie pomocy publicznej usługi rozwojowe muszą odbywać się z własnej inicjatywy uczestnika, poza godzinami świadczenia pracy (na podstawie warunków zatrudnienia), a wszystkie podmioty biorące udział w realizacji projektu muszą być niezależne od pracodawcy/uczestnika usługi. Usługi rozwojowe muszą odbywać się poza miejscem pracy uczestników a nabór na usługę musi być otwarty dla wszystkich zainteresowanych. Usługi rozwojowe nie mogą dotyczyć obowiązkowych szkoleń wynikających z przepisów prawa.</w:t>
      </w:r>
      <w:r>
        <w:br/>
      </w:r>
      <w:r>
        <w:br/>
        <w:t>Działanie będzie realizowane z uwzględnieniem zasad horyzontalnych (zgodnie z art. 9 Rozporządzenia Parlamentu Europejskiego i Rady (UE) nr 2021/1060 z dnia 24 czerwca 2021 r.), a obowiązek ich stosowania wynika z Umowy Partnerstwa, Programu Regionalnego oraz wytycznych.</w:t>
      </w:r>
      <w:r>
        <w:br/>
      </w:r>
      <w:r>
        <w:br/>
        <w:t>Dopuszczalne będą działania na rzecz podniesienia kompetencji i świadomości w zakresie cyberbezpieczeństwa, jako uzupełnienie wsparcia zaplanowanego w tym celu szczegółowym.</w:t>
      </w:r>
    </w:p>
    <w:p w14:paraId="02C514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4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4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4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4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4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14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4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4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4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14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4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4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cross-financing (%)</w:t>
      </w:r>
    </w:p>
    <w:p w14:paraId="02C514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4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4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4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4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4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4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Służby publiczne</w:t>
      </w:r>
    </w:p>
    <w:p w14:paraId="02C514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4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Centra aktywności lokalnej, Duże przedsiębiorstwa, Europejskie ugrupowanie współpracy terytorialnej, Instytucje finansowe, Instytucje integracji i pomocy społecznej, Instytucje kultury, Instytucje otoczenia biznesu, Instytucje rynku pracy, Izby gospodarcze, Jednostki Samorządu Terytorialnego, Klastry, Kluby sportowe, centra sportu, Kościoły i związki wyznaniowe, MŚP, Niepubliczne instytucje kultury, Niepubliczne instytucje sportu, Niepubliczne podmioty integracji i pomocy społecznej, Organizacje pozarządowe, Organizacje zrzeszające pracodawców, Ośrodki kształcenia dorosłych, Partnerstwa instytucji pozarządowych, Partnerzy gospodarczy, Podmioty ekonomii społecznej, Pozarządowe organizacje turystyczne, Rządowe organizacje turystyczne, Szkoły i inne placówki systemu oświaty, Związki zawodowe</w:t>
      </w:r>
    </w:p>
    <w:p w14:paraId="02C514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4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dorosłe, które z własnej inicjatywy chcą nabywać kompetencje lub kwalifikacje</w:t>
      </w:r>
    </w:p>
    <w:p w14:paraId="02C514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4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dokształcanie, edukacja, edukacja_dorosłych, kompetencje, kompetencje_cyfrowe, kształcenie_dorosłych, kwalifikacje, szkolenia, uczenie_się_przez_całe_życie</w:t>
      </w:r>
    </w:p>
    <w:p w14:paraId="02C514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4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4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4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4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4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4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WLWK-PLGCO03 - Liczba osób dorosłych objętych wsparciem w zakresie umiejętności lub kompetencji podstawowych, realizowanym poza Bazą Usług Rozwojowych </w:t>
      </w:r>
    </w:p>
    <w:p w14:paraId="02C514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WLWK-EECO15 - Liczba osób należących do mniejszości, w tym społeczności marginalizowanych takich jak Romowie, objętych wsparciem w programie</w:t>
      </w:r>
    </w:p>
    <w:p w14:paraId="02C514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4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4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02C514A8" w14:textId="7288EE6A"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w:t>
      </w:r>
      <w:r w:rsidR="002D509E">
        <w:t xml:space="preserve"> </w:t>
      </w:r>
      <w:r>
        <w:t>objętych wsparciem w programie</w:t>
      </w:r>
    </w:p>
    <w:p w14:paraId="02C514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4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4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4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PROG-FESLO-26 - Liczba osób o niskich kwalifikacjach objętych wsparciem w programie</w:t>
      </w:r>
    </w:p>
    <w:p w14:paraId="02C514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14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14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4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02C514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4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02C514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4B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5" w:name="_Toc235079803"/>
      <w:r>
        <w:rPr>
          <w:rFonts w:ascii="Calibri" w:hAnsi="Calibri" w:cs="Calibri"/>
          <w:sz w:val="32"/>
        </w:rPr>
        <w:t>Działanie FESL.06.09 Lokalne Ośrodki Wiedzy i Edukacji - LOWE</w:t>
      </w:r>
      <w:bookmarkEnd w:id="65"/>
    </w:p>
    <w:p w14:paraId="02C514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4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02C514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4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4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4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4 470 589,00</w:t>
      </w:r>
    </w:p>
    <w:p w14:paraId="02C514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4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4 000 000,00</w:t>
      </w:r>
    </w:p>
    <w:p w14:paraId="02C514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4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02C514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4C0" w14:textId="7A132B4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interwencji jest aktywizacja i włączenie w różnorodne formy edukacji osoby dorosłe, w szczególności osoby z grup w niekorzystnej sytuacji, na rzecz rozwoju umiejętności, kwalifikacji i kompetencji, stanowiących podstawę dla uczenia się przez całe życie, przydatnych do poruszania się na rynku pracy, dla rozwoju osobistego i rozwoju wspólnot lokalnych, poprzez tworzenie lokalnych punktów wsparcia kształcenia osób dorosłych w oparciu o model LOWE (Lokalne Ośrodki Wiedzy i Edukacji*)</w:t>
      </w:r>
      <w:r w:rsidR="002D509E">
        <w:t xml:space="preserve"> </w:t>
      </w:r>
      <w:r>
        <w:t>opracowany w perspektywie 2014-2020 w ramach programu krajowego POWER.</w:t>
      </w:r>
      <w:r>
        <w:br/>
        <w:t xml:space="preserve">*http://efs.mein.gov.pl/wp-content/uploads/2019/05/Zalacznik_nr_10_Model_funkcjonowania _LOWE.-pdf.pdf </w:t>
      </w:r>
      <w:r>
        <w:br/>
      </w:r>
      <w:r>
        <w:br/>
        <w:t xml:space="preserve">Lokalne Ośrodki Wiedzy i Edukacji na rzecz aktywizacji edukacyjnej osób dorosłych – to centrum organizowania i animowania edukacji pozaformalnej i nieformalnego uczenia się osób dorosłych, uruchomione przy szkole lub w placówce systemu oświaty. </w:t>
      </w:r>
      <w:r>
        <w:br/>
      </w:r>
      <w:r>
        <w:br/>
        <w:t xml:space="preserve">LOWE wykorzystuje potencjał szkoły dlatego projekt skierowany jest do organów prowadzących szkoły i placówki systemu oświaty z terenu województwa śląskiego. </w:t>
      </w:r>
      <w:r>
        <w:br/>
      </w:r>
      <w:r>
        <w:br/>
        <w:t>Celem podejmowanych działań będzie*:</w:t>
      </w:r>
      <w:r>
        <w:br/>
        <w:t>a)</w:t>
      </w:r>
      <w:r>
        <w:tab/>
        <w:t>aktywizacja edukacyjna osób dorosłych, w szczególności z utrudnionym dostępem do odpowiadających na ich potrzeby ofert edukacyjnych, w otoczeniu szkół i placówek systemu oświaty do rozwijania swoich umiejętności i włączania się w życie społeczności lokalnej;</w:t>
      </w:r>
      <w:r>
        <w:br/>
        <w:t>b)</w:t>
      </w:r>
      <w:r>
        <w:tab/>
        <w:t>utrzymanie zaangażowania edukacyjnego osób dorosłych przez dobór odpowiednich form i zakresu oferty edukacyjnej, dostosowanej do indywidualnych potrzeb i oczekiwań;</w:t>
      </w:r>
      <w:r>
        <w:br/>
        <w:t>c)</w:t>
      </w:r>
      <w:r>
        <w:tab/>
        <w:t xml:space="preserve">aktywizowanie instytucji i organizacji z otoczenia szkół i placówek na rzecz rozwoju umiejętności dorosłych w społeczności lokalnej. </w:t>
      </w:r>
      <w:r>
        <w:br/>
        <w:t>*działania muszą być realizowane łącznie w ramach projektu.</w:t>
      </w:r>
      <w:r>
        <w:br/>
      </w:r>
      <w:r>
        <w:br/>
        <w:t xml:space="preserve">WARUNKI: </w:t>
      </w:r>
      <w:r>
        <w:br/>
      </w:r>
      <w:r>
        <w:br/>
        <w:t>1. Ośrodki będą funkcjonować na obszarach cechujących się trudniejszym dostępem do dobrej jakości ofert edukacji np.: oddalonych od dużych ośrodków edukacyjnych, wiejskich, marginalizowanych.</w:t>
      </w:r>
      <w:r>
        <w:br/>
      </w:r>
      <w:r>
        <w:br/>
        <w:t>2. W przypadku kompetencji cyfrowych wsparcie jest realizowane z wykorzystaniem narzędzia do oceny poziomu kompetencji cyfrowych „Europejskie narzędzie do oceny poziomu kompetencji cyfrowych”*, aktualnego na dzień ogłoszenia naboru. Narzędzie jest powiązane z „DigComp”.</w:t>
      </w:r>
      <w:r>
        <w:br/>
        <w:t xml:space="preserve">*https://europa.eu/europass/digitalskills/screen/home?lang=pl </w:t>
      </w:r>
      <w:r>
        <w:br/>
      </w:r>
      <w:r>
        <w:lastRenderedPageBreak/>
        <w:br/>
        <w:t>3. Wszelkie działania podejmowane przez LOWE zostaną poprzedzone kompleksową oceną potrzeb osób dorosłych w zakresie umiejętności na danym obszarze, jako podstawą dla opracowywania treści ofert edukacyjnych.</w:t>
      </w:r>
      <w:r>
        <w:br/>
      </w:r>
      <w:r>
        <w:br/>
        <w:t>4. Każda inicjatywa będzie wspierana przez animatora, zgodnie z opracowanym modelem.</w:t>
      </w:r>
      <w:r>
        <w:br/>
      </w:r>
      <w:r>
        <w:br/>
        <w:t xml:space="preserve">5. Wsparcie w zakresie podnoszenia umiejętności, kwalifikacji i kompetencji będzie realizowane poza podmiotowym systemem finansowania, bez wykorzystania narzędzia Bazy Usług Rozwojowych. </w:t>
      </w:r>
      <w:r>
        <w:br/>
      </w:r>
      <w:r>
        <w:br/>
        <w:t xml:space="preserve">6. Beneficjenci będą zobowiązani do włączenia się w ogólnopolską sieć, która będzie rozwijana i koordynowana przez ministra właściwego do spraw oświaty i wychowania w ramach w ramach FERS, a także będą współpracować z lokalnymi Klubami Rozwoju Cyfrowego, tworzonymi w FERS. </w:t>
      </w:r>
      <w:r>
        <w:br/>
      </w:r>
      <w:r>
        <w:br/>
        <w:t>7. Aby wykluczyć występowanie pomocy publicznej - szkolenia muszą odbywać się z własnej inicjatywy uczestnika, poza godzinami świadczenia pracy (na podstawie warunków zatrudnienia), a wszystkie podmioty biorące udział w realizacji projektu muszą być niezależne od pracodawcy/uczestnika usługi. Szkolenia muszą odbywać się poza miejscem pracy uczestników, a nabór na wsparcie musi być otwarty dla wszystkich zainteresowanych.</w:t>
      </w:r>
      <w:r>
        <w:br/>
      </w:r>
      <w:r>
        <w:br/>
        <w:t>Działanie będzie realizowane z uwzględnieniem zasad horyzontalnych (zgodnie z art. 9 Rozporządzenia Parlamentu Europejskiego i Rady (UE) nr 2021/1060 z dnia 24 czerwca 2021 r.), a obowiązek ich stosowania wynika z Umowy Partnerstwa, Programu Regionalnego oraz wytycznych.</w:t>
      </w:r>
      <w:r>
        <w:br/>
      </w:r>
      <w:r>
        <w:br/>
        <w:t>Dopuszczalne będą działania na rzecz podniesienia kompetencji i świadomości w zakresie cyberbezpieczeństwa, jako uzupełnienie wsparcia zaplanowanego w tym celu szczegółowym.</w:t>
      </w:r>
    </w:p>
    <w:p w14:paraId="02C514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4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4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4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4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4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14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4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4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4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14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4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4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4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4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4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4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4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4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4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 Przedsiębiorstwa realizujące cele publiczne</w:t>
      </w:r>
    </w:p>
    <w:p w14:paraId="02C514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4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Centra aktywności lokalnej, Duże przedsiębiorstwa, Jednostki Samorządu Terytorialnego, Kościoły i związki wyznaniowe, MŚP, Niepubliczne instytucje kultury, Niepubliczne instytucje sportu, Organizacje pozarządowe, Ośrodki kształcenia dorosłych, Szkoły i inne placówki systemu oświaty</w:t>
      </w:r>
    </w:p>
    <w:p w14:paraId="02C514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4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lokalnej społeczności chcący rozwijać kompetencje życiowe, społeczne i zawodowe w Lokalnych Ośrodkach Wiedzy i Edukacji (LOWE)</w:t>
      </w:r>
    </w:p>
    <w:p w14:paraId="02C514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4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aktywizacja_edukacyjno-zawodowa, edukacja, kompetencje, kształcenie_dorosłych, kwalifikacje, lokalne_ośrodki_wiedzy_i_edukacji, osoby_ze_szczególnymi_potrzebami, rownosc_szans, uczenie_się_przez_całe_życie, wyrownywanie_szans</w:t>
      </w:r>
    </w:p>
    <w:p w14:paraId="02C514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4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4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4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https://funduszeue.slaskie.pl/web/guest/kryteria-wyboru</w:t>
      </w:r>
    </w:p>
    <w:p w14:paraId="02C514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4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4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4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4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4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02C514E5" w14:textId="364CADB8"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w:t>
      </w:r>
      <w:r w:rsidR="002D509E">
        <w:t xml:space="preserve"> </w:t>
      </w:r>
      <w:r>
        <w:t>objętych wsparciem w programie</w:t>
      </w:r>
    </w:p>
    <w:p w14:paraId="02C514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4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4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WLWK-PLGCO02 - Liczba podmiotów przygotowanych do pełnienia funkcji lokalnego ośrodka kształcenia osób dorosłych</w:t>
      </w:r>
    </w:p>
    <w:p w14:paraId="02C514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4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PROG-FESLO-26 - Liczba osób o niskich kwalifikacjach objętych wsparciem w programie</w:t>
      </w:r>
    </w:p>
    <w:p w14:paraId="02C514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14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14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4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02C514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4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02C514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14F2"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66" w:name="_Toc235079804"/>
      <w:r>
        <w:rPr>
          <w:rFonts w:ascii="Calibri" w:hAnsi="Calibri" w:cs="Calibri"/>
          <w:i w:val="0"/>
          <w:sz w:val="32"/>
        </w:rPr>
        <w:t>Priorytet FESL.07 Fundusze Europejskie dla społeczeństwa</w:t>
      </w:r>
      <w:bookmarkEnd w:id="66"/>
    </w:p>
    <w:p w14:paraId="02C514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14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14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14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02C514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14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CP4 - Europa o silniejszym wymiarze społecznym, bardziej sprzyjająca włączeniu społecznemu i wdrażająca Europejski filar praw socjalnych</w:t>
      </w:r>
    </w:p>
    <w:p w14:paraId="02C514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14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14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14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272 171 198,00</w:t>
      </w:r>
    </w:p>
    <w:p w14:paraId="02C514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14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241 398 620,00</w:t>
      </w:r>
    </w:p>
    <w:p w14:paraId="02C514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15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5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15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5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15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5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506"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7" w:name="_Toc235079805"/>
      <w:r>
        <w:rPr>
          <w:rFonts w:ascii="Calibri" w:hAnsi="Calibri" w:cs="Calibri"/>
          <w:sz w:val="32"/>
        </w:rPr>
        <w:t>Działanie FESL.07.01 Ekonomia społeczna</w:t>
      </w:r>
      <w:bookmarkEnd w:id="67"/>
    </w:p>
    <w:p w14:paraId="02C515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5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EFS+.CP4.H - Wspieranie aktywnego włączenia społecznego w celu promowania równości szans, niedyskryminacji i aktywnego uczestnictwa, oraz zwiększanie zdolności do zatrudnienia, w szczególności grup w niekorzystnej sytuacji</w:t>
      </w:r>
    </w:p>
    <w:p w14:paraId="02C515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5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41 400 530,00</w:t>
      </w:r>
    </w:p>
    <w:p w14:paraId="02C515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5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35 220 136,00</w:t>
      </w:r>
    </w:p>
    <w:p w14:paraId="02C515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5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138 - Wsparcie na rzecz ekonomii społecznej i przedsiębiorstw społecznych</w:t>
      </w:r>
    </w:p>
    <w:p w14:paraId="02C515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510" w14:textId="7DAE7B5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Działanie ma na celu zwiększenie zatrudnienia osób zagrożonych wykluczeniem społecznym (w </w:t>
      </w:r>
      <w:r>
        <w:lastRenderedPageBreak/>
        <w:t xml:space="preserve">rozumieniu ustawy z dnia 5 sierpnia 2022 r. o ekonomii społecznej), poprzez wsparcie tworzenia dla nich nowych miejsc pracy w przedsiębiorstwach społecznych (PS). </w:t>
      </w:r>
      <w:r>
        <w:br/>
        <w:t>Przewiduje się realizację następującego typu projektu:</w:t>
      </w:r>
      <w:r>
        <w:br/>
        <w:t xml:space="preserve">Typ 1. Wzmocnienie sektora ekonomii społecznej </w:t>
      </w:r>
      <w:r>
        <w:br/>
        <w:t>Interwencja ta będzie realizowana głównie za pomocą bezzwrotnego wsparcia finansowego na utworzenie i utrzymanie miejsc pracy w przedsiębiorstwach społecznych (przez 12 miesięcy) oraz dofinansowania do realizacji indywidualnego planu reintegracyjnego o którym mowa w ustawie</w:t>
      </w:r>
      <w:r w:rsidR="002D509E">
        <w:t xml:space="preserve"> </w:t>
      </w:r>
      <w:r>
        <w:t>o ekonomii społecznej.</w:t>
      </w:r>
      <w:r>
        <w:br/>
        <w:t xml:space="preserve">Wsparcie finansowe na utworzenie i utrzymanie miejsc pracy w PS będzie realizowane za pomocą stawek jednostkowych. </w:t>
      </w:r>
      <w:r>
        <w:br/>
        <w:t xml:space="preserve">Wparcia na utworzenie miejsc pracy będzie można udzielić zarówno istniejącym przedsiębiorstwom społecznym, jak również przy tworzeniu przedsiębiorstwa społecznego lub przekształceniu podmiotu ekonomii społecznej (PES) w przedsiębiorstwo społeczne. </w:t>
      </w:r>
      <w:r>
        <w:br/>
        <w:t>Uzyskanie bezzwrotnego wsparcia finansowego będzie powiązane z usługami towarzyszącymi, wskazanymi w art. 29 ustawy o ekonomii społecznej, obejmującymi m.in. usługi w zakresie: animacji lokalnej, wsparcia działań reintegracyjnych, wsparcia</w:t>
      </w:r>
      <w:r w:rsidR="002D509E">
        <w:t xml:space="preserve"> </w:t>
      </w:r>
      <w:r>
        <w:t xml:space="preserve">w postępowaniach o udzielenie zamówienia publicznego, wzmacniania potencjału oraz wsparcia biznesowego. </w:t>
      </w:r>
      <w:r>
        <w:br/>
        <w:t xml:space="preserve">Działanie realizowane będzie przez akredytowane Ośrodki Wsparcia Ekonomii Społecznej (OWES), których oferta składa się z instrumentów wykazanych powyżej, jest adresowana do PS i PES i obejmuje również pomoc w pozyskiwaniu wsparcia zewnętrznego, w szczególności w zakresie rozwoju kompetencji lub kwalifikacji przy wykorzystaniu Bazy Usług Rozwojowych (BUR). </w:t>
      </w:r>
      <w:r>
        <w:br/>
        <w:t xml:space="preserve">Obszar działania OWES zostanie wskazany przez IZ. </w:t>
      </w:r>
      <w:r>
        <w:br/>
        <w:t>Dopuszcza się możliwość rozszerzenia interwencji OWES o dodatkowe instrumenty (np. doradztwo, poradnictwo oraz szkolenia), niezbędne do założenia i/lub efektywnego prowadzenia działalności, oraz realizacji</w:t>
      </w:r>
      <w:r w:rsidR="002D509E">
        <w:t xml:space="preserve"> </w:t>
      </w:r>
      <w:r>
        <w:t>usług społecznych na rzecz społeczności lokalnej, a także ich udział w kluczowych obszarach takich jak np. zielona gospodarka.</w:t>
      </w:r>
      <w:r>
        <w:br/>
        <w:t>Informacje dodatkowe</w:t>
      </w:r>
      <w:r>
        <w:br/>
        <w:t xml:space="preserve">Zakres oddziaływania interwencji będzie służył realizacji celów szczegółowych określonych w Krajowym Programie Rozwoju Ekonomii Społecznej do 2030 roku. </w:t>
      </w:r>
      <w:r>
        <w:br/>
        <w:t>W ramach projektów z zakresu ekonomii społecznej możliwa będzie realizacja działań szkoleniowych dotyczących zapobiegania dyskryminacji i uwzględniania specyficznych potrzeb osób narażonych na dyskryminację ze względu na cechy prawnie chronione</w:t>
      </w:r>
      <w:r w:rsidR="002D509E">
        <w:t xml:space="preserve"> </w:t>
      </w:r>
      <w:r>
        <w:t>(jako działanie uzupełniające).</w:t>
      </w:r>
      <w:r>
        <w:br/>
        <w:t xml:space="preserve">Maksymalny dopuszczalny poziom dofinansowania projektu wynosi 95%. Środki na stawki jednostkowe na utworzenie i utrzymanie miejsca pracy w PS są finansowane w 100%, dlatego ostateczny montaż finansowy projektu zostanie dookreślony na późniejszym etapie. </w:t>
      </w:r>
      <w:r>
        <w:br/>
        <w:t>Docelowy poziom wkładu własnego i budżetu państwa zostanie określony w regulaminie wyboru projektów.</w:t>
      </w:r>
      <w:r>
        <w:br/>
      </w:r>
    </w:p>
    <w:p w14:paraId="02C515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5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5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15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5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5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5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5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5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5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5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5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5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5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02C515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5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5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5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5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5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5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5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5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5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ochrony zdrowia, Instytucje wspierające biznes, Organizacje społeczne i związki wyznaniowe, Partnerstwa, Partnerzy społeczni, Przedsiębiorstwa, Przedsiębiorstwa realizujące cele publiczne, Służby publiczne</w:t>
      </w:r>
    </w:p>
    <w:p w14:paraId="02C515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5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baza_usług_rozwojowych, centra_integracji_społecznej_CIS, dostępność, dotacje_na_miejsca_pracy, ekonomia_społeczna, instytucje_rynku_pracy, integracja_społeczna, kluby_integracji_społecznej_KIS, osoby_z_niepełnosprawnościami, rownosc_szans</w:t>
      </w:r>
    </w:p>
    <w:p w14:paraId="02C515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5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5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5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5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5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5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5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5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5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5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5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5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5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WLWK-PLHCO01 - Liczba podmiotów ekonomii społecznej objętych wsparciem</w:t>
      </w:r>
    </w:p>
    <w:p w14:paraId="02C515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5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5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WLWK-PLHCR01 - Liczba miejsc pracy utworzonych w przedsiębiorstwach społecznych</w:t>
      </w:r>
    </w:p>
    <w:p w14:paraId="02C515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2C515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53E"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8" w:name="_Toc235079806"/>
      <w:r>
        <w:rPr>
          <w:rFonts w:ascii="Calibri" w:hAnsi="Calibri" w:cs="Calibri"/>
          <w:sz w:val="32"/>
        </w:rPr>
        <w:lastRenderedPageBreak/>
        <w:t>Działanie FESL.07.02 Aktywna integracja</w:t>
      </w:r>
      <w:bookmarkEnd w:id="68"/>
    </w:p>
    <w:p w14:paraId="02C515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5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EFS+.CP4.H - Wspieranie aktywnego włączenia społecznego w celu promowania równości szans, niedyskryminacji i aktywnego uczestnictwa, oraz zwiększanie zdolności do zatrudnienia, w szczególności grup w niekorzystnej sytuacji</w:t>
      </w:r>
    </w:p>
    <w:p w14:paraId="02C515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5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59 995 901,00</w:t>
      </w:r>
    </w:p>
    <w:p w14:paraId="02C515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5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53 680 543,00</w:t>
      </w:r>
    </w:p>
    <w:p w14:paraId="02C515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5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153 - Metody integracji z rynkiem pracy oraz powrotu na rynek pracy osób znajdujących się w niekorzystnej sytuacji</w:t>
      </w:r>
    </w:p>
    <w:p w14:paraId="02C515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548" w14:textId="701A945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celu aktywizacji społeczno-zawodowej osób z niepełnosprawnościami oraz osób zagrożonych wykluczeniem społecznym, w tym nieaktywnych zawodowo, przewiduje się realizację następujących typów projektów:</w:t>
      </w:r>
      <w:r>
        <w:br/>
        <w:t>1.</w:t>
      </w:r>
      <w:r>
        <w:tab/>
        <w:t>Aktywizacja społeczno-zawodowa osób i rodzin.</w:t>
      </w:r>
      <w:r>
        <w:br/>
        <w:t>2.</w:t>
      </w:r>
      <w:r>
        <w:tab/>
        <w:t>Proces reintegracji społecznej i zawodowej prowadzony przez podmioty reintegracyjne.</w:t>
      </w:r>
      <w:r>
        <w:br/>
        <w:t>Typ 1. Aktywizacja społeczno-zawodowa osób i rodzin realizowana w szczególności poprzez:</w:t>
      </w:r>
      <w:r>
        <w:br/>
        <w:t>a)</w:t>
      </w:r>
      <w:r>
        <w:tab/>
        <w:t>Usługi aktywnej integracji o charakterze społecznym</w:t>
      </w:r>
      <w:r w:rsidR="002D509E">
        <w:t xml:space="preserve"> </w:t>
      </w:r>
      <w:r>
        <w:t xml:space="preserve">(nabycie, przywrócenie lub wzmocnienie kompetencji społecznych, zaradności, samodzielności i aktywności społecznej); </w:t>
      </w:r>
      <w:r>
        <w:br/>
        <w:t>b)</w:t>
      </w:r>
      <w:r>
        <w:tab/>
        <w:t xml:space="preserve">Usługi aktywnej integracji o charakterze zawodowym (m. in. staże, praktyki zawodowe, kursy, szkolenia zawodowe, poradnictwo zawodowe, pośrednictwo pracy, usługi trenera pracy, reintegracja w ramach CIS/KIS); </w:t>
      </w:r>
      <w:r>
        <w:br/>
        <w:t>c)</w:t>
      </w:r>
      <w:r>
        <w:tab/>
        <w:t xml:space="preserve">Usługi aktywnej integracji o charakterze edukacyjnym (m. in. zajęcia szkolne związane z uzupełnieniem wykształcenia na poziomie podstawowym, średnim lub policealnym, edukacja formalna, długotrwałe formy kształcenia ustawicznego, certyfikowane kursy i szkolenia w formie uzupełniającej edukację, usługi wspierające aktywizację edukacyjną); </w:t>
      </w:r>
      <w:r>
        <w:br/>
        <w:t>d)</w:t>
      </w:r>
      <w:r>
        <w:tab/>
        <w:t xml:space="preserve"> Usługi aktywnej integracji o charakterze zdrowotnym.</w:t>
      </w:r>
      <w:r>
        <w:br/>
        <w:t>Typ 2.</w:t>
      </w:r>
      <w:r>
        <w:tab/>
        <w:t>Proces reintegracji społecznej i zawodowej prowadzony przez podmioty reintegracyjne w szczególności poprzez:</w:t>
      </w:r>
      <w:r>
        <w:br/>
        <w:t>a)</w:t>
      </w:r>
      <w:r>
        <w:tab/>
        <w:t>tworzenie nowych podmiotów reintegracyjnych tj. KIS, CIS;</w:t>
      </w:r>
      <w:r>
        <w:br/>
        <w:t>b)</w:t>
      </w:r>
      <w:r>
        <w:tab/>
        <w:t>tworzenie nowych pracowni i/lub</w:t>
      </w:r>
      <w:r w:rsidR="002D509E">
        <w:t xml:space="preserve"> </w:t>
      </w:r>
      <w:r>
        <w:t>nowych miejsc reintegracji w istniejących podmiotach</w:t>
      </w:r>
      <w:r w:rsidR="002D509E">
        <w:t xml:space="preserve"> </w:t>
      </w:r>
      <w:r>
        <w:t>oraz obejmowanie uczestników reintegracji nowymi usługami;</w:t>
      </w:r>
      <w:r>
        <w:br/>
        <w:t>c)</w:t>
      </w:r>
      <w:r>
        <w:tab/>
        <w:t>wsparcie</w:t>
      </w:r>
      <w:r w:rsidR="002D509E">
        <w:t xml:space="preserve"> </w:t>
      </w:r>
      <w:r>
        <w:t>usług</w:t>
      </w:r>
      <w:r w:rsidR="002D509E">
        <w:t xml:space="preserve"> </w:t>
      </w:r>
      <w:r>
        <w:t>rehabilitacji</w:t>
      </w:r>
      <w:r w:rsidR="002D509E">
        <w:t xml:space="preserve"> </w:t>
      </w:r>
      <w:r>
        <w:t>zawodowej</w:t>
      </w:r>
      <w:r w:rsidR="002D509E">
        <w:t xml:space="preserve"> </w:t>
      </w:r>
      <w:r>
        <w:t>i</w:t>
      </w:r>
      <w:r w:rsidR="002D509E">
        <w:t xml:space="preserve"> </w:t>
      </w:r>
      <w:r>
        <w:t>społecznej</w:t>
      </w:r>
      <w:r w:rsidR="002D509E">
        <w:t xml:space="preserve"> </w:t>
      </w:r>
      <w:r>
        <w:t>oraz</w:t>
      </w:r>
      <w:r w:rsidR="002D509E">
        <w:t xml:space="preserve"> </w:t>
      </w:r>
      <w:r>
        <w:t>zatrudnienia</w:t>
      </w:r>
      <w:r w:rsidR="002D509E">
        <w:t xml:space="preserve"> </w:t>
      </w:r>
      <w:r>
        <w:t>w w/w podmiotach;</w:t>
      </w:r>
      <w:r>
        <w:br/>
        <w:t>d)</w:t>
      </w:r>
      <w:r>
        <w:tab/>
        <w:t xml:space="preserve">aktywizacja społeczno-zawodowa, wykorzystująca instrumenty aktywizacji społecznej, </w:t>
      </w:r>
      <w:r>
        <w:lastRenderedPageBreak/>
        <w:t>zawodowej, edukacyjnej i zdrowotnej.</w:t>
      </w:r>
      <w:r w:rsidR="002D509E">
        <w:t xml:space="preserve"> </w:t>
      </w:r>
      <w:r>
        <w:br/>
        <w:t>Wsparcie w ramach WTZ i ZAZ może być zapewnione przez ograniczony czas dla konkretnego uczestnika (1-2 lata). Warunkiem wsparcia w ramach WTZ jest zaoferowanie uczestnikom realnej ścieżki dojścia do ZAZ (lub innej formy zatrudnienia). Wsparcie w ramach ZAZ jest możliwe pod warunkiem, że 5-10% uczestników ZAZ wejdzie na otwarty rynek pracy/zarejestruje się w Urzędzie Pracy.</w:t>
      </w:r>
      <w:r>
        <w:br/>
        <w:t>Uzupełnieniem kompleksowych projektów, w ramach obu typów projektów, będzie podnoszenie kwalifikacji, kompetencji i umiejętności pracowników pomocy społecznej i podmiotów reintegracyjnych (w tym organizacji trzeciego sektora), w zakresie niezbędnym do ich realizacji. Wsparcie będzie świadczone dla kadry konkretnego projektu i wynikać będzie z potrzeb i deficytów poszczególnych uczestników.</w:t>
      </w:r>
      <w:r>
        <w:br/>
        <w:t>W ramach wsparcia możliwymi do realizacji będą działania mające na celu poprawę kompetencji w zakresie spędzania czasu wolnego i rekreacji w kulturze (jako element pakietu całościowego wsparcia), m. in. wydarzenia skierowane do rodzin czy otoczenia uczestników projektu. Celem powyższych działań będzie m. in. wzmacnianie więzi między opiekunem a dziećmi.</w:t>
      </w:r>
      <w:r>
        <w:br/>
        <w:t>W ramach wsparcia możliwa będzie realizacja dodatkowych niezbędnych usług społecznych realizowanych w społeczności lokalnej umożliwiających udział w procesie reintegracji, w postaci m.in. asystentury osobistej, poradnictwa i grup wsparcia dla rodzin czy transportu indywidualnego.</w:t>
      </w:r>
      <w:r>
        <w:br/>
        <w:t>Uzupełniająco możliwe będzie wdrażanie działań z zakresu ekologii, podniesienia świadomości oszczędnego korzystania z zasobów, efektywnego gospodarowania energią, w tym wykorzystania OZE oraz problematyki ochrony powietrza.</w:t>
      </w:r>
      <w:r>
        <w:br/>
        <w:t>Informacje dodatkowe</w:t>
      </w:r>
      <w:r>
        <w:br/>
        <w:t xml:space="preserve">W ramach projektów z zakresu aktywnej integracji realizowane będą działania szkoleniowe dotyczące zapobiegania dyskryminacji i uwzględniania specyficznych potrzeb osób narażonych na dyskryminację ze względu na cechy prawnie chronione. </w:t>
      </w:r>
      <w:r>
        <w:br/>
        <w:t xml:space="preserve">W ramach aktywnej integracji dopuszcza się uzupełniająco działania dla osób wykluczonych komunikacyjnie. </w:t>
      </w:r>
      <w:r>
        <w:br/>
        <w:t>Maksymalny dopuszczalny poziom cross-financingu wynosi 30% finansowania i każdorazowo zostanie doprecyzowany w regulaminie wyboru projektów, przy założeniu, że poziom cross-financingu dla priorytetu wynosi max. 15%. Docelowy poziom wkładu własnego i budżetu państwa zostanie określony w regulaminie wyboru projektów.</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5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5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5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5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5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02C515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5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5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5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5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stawka jednostkowa w oparciu o metodykę IZ [art. 53(3)(a) CPR], uproszczona metoda rozliczania wydatków w oparciu o projekt budżetu [art. 53(3)(b) CPR]</w:t>
      </w:r>
    </w:p>
    <w:p w14:paraId="02C515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5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5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5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02C515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5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5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5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5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5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5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5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5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5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Służby publiczne</w:t>
      </w:r>
    </w:p>
    <w:p w14:paraId="02C515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5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aktywizacja_społeczna, aktywizacja_zawodowa, centra_integracji_społecznej_CIS, dopasowanie_do_rynku_pracy, doradztwo_zawodowe, dostępność, integracja_społeczna, kluby_integracji_społecznej_KIS, kwalifikacje, osoby_z_niepełnosprawnościami</w:t>
      </w:r>
    </w:p>
    <w:p w14:paraId="02C515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5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5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5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5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5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5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5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5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02C515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5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WLWK-EECO02+04 - Liczba osób niezatrudnionych objętych wsparciem w programie</w:t>
      </w:r>
    </w:p>
    <w:p w14:paraId="02C515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5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5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5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5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5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5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5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02C515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02C515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2C515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PROG-FESLR-13 - Liczba osób, które podniosły kompetencje społeczne przydatne na rynku pracy</w:t>
      </w:r>
    </w:p>
    <w:p w14:paraId="02C515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PROG-FESLR-14 - Liczba osób, których sytuacja społeczna uległa poprawie zgodnie z zaplanowaną ścieżką reintegracji</w:t>
      </w:r>
    </w:p>
    <w:p w14:paraId="02C515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lastRenderedPageBreak/>
        <w:t>Kod i nazwa działania</w:t>
      </w:r>
    </w:p>
    <w:p w14:paraId="02C5157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9" w:name="_Toc235079807"/>
      <w:r>
        <w:rPr>
          <w:rFonts w:ascii="Calibri" w:hAnsi="Calibri" w:cs="Calibri"/>
          <w:sz w:val="32"/>
        </w:rPr>
        <w:t>Działanie FESL.07.03 Integracja społeczno - gospodarcza cudzoziemców</w:t>
      </w:r>
      <w:bookmarkEnd w:id="69"/>
    </w:p>
    <w:p w14:paraId="02C515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5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EFS+.CP4.I - Wspieranie integracji społeczno-gospodarczej obywateli państw trzecich, w tym migrantów</w:t>
      </w:r>
    </w:p>
    <w:p w14:paraId="02C515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5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5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5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13 411 764,00</w:t>
      </w:r>
    </w:p>
    <w:p w14:paraId="02C515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5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12 000 000,00</w:t>
      </w:r>
    </w:p>
    <w:p w14:paraId="02C515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5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156 - Działania szczególne na rzecz zwiększenia udziału obywateli państw trzecich w rynku pracy, 157 - Działania na rzecz integracji społecznej obywateli państw trzecich</w:t>
      </w:r>
    </w:p>
    <w:p w14:paraId="02C515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5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Celem działania jest wspieranie integracji społeczno-gospodarczej obywateli państw trzecich, w tym migrantów, przebywających w województwie śląskim z zamiarem stałego lub czasowego pobytu. Osoby te muszą przebywać w regionie legalnie, na podstawie dokumentów upoważniających do pobytu i pracy, takich jak np. wiza, karta pobytu (czasowego, stałego lub rezydenta długoterminowego Unii Europejskiej) lub dokument potwierdzający objęcie ochroną. W zakres pomocy włączeni są zarówno migranci przyjeżdżający do pracy, studenci, jak również uchodźcy oraz osoby, które otrzymały inne formy ochrony.</w:t>
      </w:r>
      <w:r>
        <w:br/>
      </w:r>
      <w:r>
        <w:br/>
        <w:t>Typy projektów:</w:t>
      </w:r>
      <w:r>
        <w:br/>
      </w:r>
      <w:r>
        <w:br/>
        <w:t>1.Integracja społeczno-gospodarcza obywateli państw trzecich (OPT), w tym migrantów.</w:t>
      </w:r>
      <w:r>
        <w:br/>
        <w:t>Integracja odbywa się poprzez:</w:t>
      </w:r>
      <w:r>
        <w:br/>
      </w:r>
      <w:r>
        <w:br/>
        <w:t>a. wspieranie OPT, w tym migrantów oraz pracodawców w procesie integracji cudzoziemców na rynku pracy;</w:t>
      </w:r>
      <w:r>
        <w:br/>
      </w:r>
      <w:r>
        <w:br/>
        <w:t xml:space="preserve">b. usługi dla cudzoziemców, w tym o charakterze kompleksowych ścieżek integracji, które pozwolą im na lepsze funkcjonowanie w polskim społeczeństwie, m.in. kursy języka polskiego, szkolenia z zakresu </w:t>
      </w:r>
      <w:r>
        <w:lastRenderedPageBreak/>
        <w:t>wartości i kultury polskiej, szkolenia umożliwiające zdobycie kwalifikacji, dostarczanie praktycznych informacji dotyczących różnych aspektów życia w Polsce, porady prawne itp.</w:t>
      </w:r>
      <w:r>
        <w:br/>
      </w:r>
      <w:r>
        <w:br/>
        <w:t>2. Działania na rzecz społeczeństwa przyjmującego i jego instytucji.</w:t>
      </w:r>
      <w:r>
        <w:br/>
      </w:r>
      <w:r>
        <w:br/>
        <w:t>Działania dotyczą w szczególności przeciwdziałania dyskryminacji, budowania wiedzy i potencjału podmiotów działających na rzecz migrantów.</w:t>
      </w:r>
      <w:r>
        <w:br/>
      </w:r>
      <w:r>
        <w:br/>
        <w:t>Warunki wsparcia:</w:t>
      </w:r>
      <w:r>
        <w:br/>
      </w:r>
      <w:r>
        <w:br/>
        <w:t>a) typ projektu nr 1 jest obligatoryjny, natomiast typ nr 2 jest fakultatywny;</w:t>
      </w:r>
      <w:r>
        <w:br/>
      </w:r>
      <w:r>
        <w:br/>
        <w:t>b) wsparcie jest skierowane jest do osób, które nie posiadają obywatelstwa żadnego z krajów UE ani krajów takich jak Norwegia, Islandia, Liechtenstein oraz Szwajcaria. Osoby te muszą przebywać w Polsce legalnie, na podstawie dokumentów upoważniających do pobytu i pracy, takich jak np. wiza, karta pobytu (czasowego, stałego lub rezydenta długoterminowego UE) czy dokument potwierdzający objęcie ochroną. W zakres pomocy włączeni są zarówno migranci przyjeżdżający do pracy, studenci, jak również uchodźcy oraz osoby, które otrzymały inne formy ochrony;</w:t>
      </w:r>
      <w:r>
        <w:br/>
      </w:r>
      <w:r>
        <w:br/>
        <w:t>c) w projektach będą preferowane osoby, które po agresji Federacji Rosyjskiej na Ukrainę zostały objęte ochroną czasową;</w:t>
      </w:r>
      <w:r>
        <w:br/>
      </w:r>
      <w:r>
        <w:br/>
        <w:t>d) realizowane działania będą uwzględniać specyfikę migracji do województwa śląskiego, w szczególności pod względem cech społeczno-demograficznych OPT, w tym migrantów, sektorów gospodarki, w których najczęściej znajdują zatrudnienie oraz wyzwań, jakie się pojawiają;</w:t>
      </w:r>
      <w:r>
        <w:br/>
      </w:r>
      <w:r>
        <w:br/>
        <w:t>e) działania w obszarze integracji społeczno-gospodarczej obywateli państw trzecich odpowiadają priorytetom rozwojowym województwa śląskiego, w szczególności poprzez budowanie i wzmacnianie zielonych i cyfrowych kwalifikacji i kompetencji, i w miarę możliwości wzmacniają oddolne inicjatywy w tym obszarze;</w:t>
      </w:r>
      <w:r>
        <w:br/>
      </w:r>
      <w:r>
        <w:br/>
        <w:t>f) szczególny nacisk zostanie położony na indywidualizację wsparcia. Powinno być ono zróżnicowane pod względem kategorii osób, do których jest kierowane, przy uwzględnieniu takich elementów jak np. ich sytuacja na rynku pracy, znajomość języka polskiego, wykształcenie (w tym zdobyte poza Polską) i posiadane kwalifikacje, posiadane kompetencje, które mogą być poddane walidacji zgodnie z Zintegrowanym Systemem Kwalifikacji, rodzaj wykonywanej lub poszukiwanej pracy, różnice kulturowe, płeć, wiek, status migracyjny, itp.;</w:t>
      </w:r>
      <w:r>
        <w:br/>
      </w:r>
      <w:r>
        <w:br/>
        <w:t>g) projekty dążą do zaangażowania obu stron: zarówno samych cudzoziemców, jak i społeczeństwa, w tym organizacji pozarządowych oraz społeczności migranckiego pochodzenia;</w:t>
      </w:r>
      <w:r>
        <w:br/>
      </w:r>
      <w:r>
        <w:br/>
        <w:t xml:space="preserve">h) tam, gdzie to możliwe wsparcie będzie udzielane w ramach centrów integracji cudzoziemców w </w:t>
      </w:r>
      <w:r>
        <w:lastRenderedPageBreak/>
        <w:t>koordynacji z projektami Funduszu Azylu, Migracji i Integracji dotyczącymi budowania struktur dla integracji cudzoziemców w Polsce;</w:t>
      </w:r>
      <w:r>
        <w:br/>
      </w:r>
      <w:r>
        <w:br/>
        <w:t>i) projekty biorą pod uwagę rekomendacje zawarte w poradniku Komisji Europejskiej pt. Toolkit on the use of EU Funds for the integration of people with a migrant background. 2021-2027 programming period (zestaw narzędzi dotyczących wykorzystania funduszy unijnych do integracji osób ze środowisk migracyjnych w okresie programowania 2021–2027);</w:t>
      </w:r>
      <w:r>
        <w:br/>
      </w:r>
      <w:r>
        <w:br/>
        <w:t>j) wsparcie z wykorzystaniem narzędzi integracji będzie zgodne z Planem działania na rzecz integracji i włączenia społecznego na lata 2021–2027, przedstawiającym założenia całościowego i spójnego podejścia Unii Europejskiej do polityki migracyjno-azylowej oraz Krajowym Programem Przeciwdziałania Ubóstwu i Wykluczeniu Społecznemu 2020, zwłaszcza Priorytet V – Integracja cudzoziemców – rozwój usług społecznych dla migrantów oraz wsparcie integracji na rynku pracy;</w:t>
      </w:r>
      <w:r>
        <w:br/>
      </w:r>
      <w:r>
        <w:br/>
        <w:t>k) działania w zakresie integracji społeczno-gospodarczej obywateli państw trzecich finansowane ze środków EFS+ nie są finansowane z innych środków publicznych, w szczególności z Funduszu Azylu, Migracji i Integracji;</w:t>
      </w:r>
      <w:r>
        <w:br/>
      </w:r>
      <w:r>
        <w:br/>
        <w:t>l) projekty dążą do komplementarności i synergii pomiędzy działaniami finansowanymi ze środków z EFS+ a działaniami finansowanymi z innych środków, w szczególności z Funduszu Azylu, Migracji i Integracji;</w:t>
      </w:r>
      <w:r>
        <w:br/>
      </w:r>
      <w:r>
        <w:br/>
        <w:t>m) projekty będą realizowane z zachowaniem linii demarkacyjnej w ramach FERS: działania FERS.04.10 Wspieranie procesów zarządzania migracjami zarobkowym (w zakresie wypracowania i wdrożenia narzędzi dostarczających kompleksowych informacji o zasadach zatrudniania i pracy w Polsce oraz wypracowania i wdrożenia działań informacyjno-promocyjnych oraz wspierających rekrutację w wybranych państwach pochodzenia cudzoziemców) oraz działania FERS.04.11 Rozwój systemu obsługi cudzoziemców przez publiczne służby zatrudnienia (w zakresie wypracowania i koordynacji procesu wdrożenia modelu obsługi cudzoziemców przez PSZ oraz stworzenia i modernizacji punktów obsługi cudzoziemców w ramach sieci PSZ).</w:t>
      </w:r>
      <w:r>
        <w:br/>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Dopuszczalne będą działania na rzecz podniesienia kompetencji i świadomości w zakresie cyberbezpieczeństwa, jako uzupełnienie wsparcia zaplanowanego w tym celu szczegółowym.</w:t>
      </w:r>
    </w:p>
    <w:p w14:paraId="02C515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5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5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15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5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5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5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5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5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5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15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5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5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5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5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5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5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5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5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5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Partnerzy społeczni, Przedsiębiorstwa, Przedsiębiorstwa realizujące cele publiczne, Służby publiczne</w:t>
      </w:r>
    </w:p>
    <w:p w14:paraId="02C515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5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Centra aktywności lokalnej, Duże przedsiębiorstwa, Instytucje finansowe, Instytucje integracji i pomocy społecznej, Instytucje otoczenia biznesu, Instytucje rynku pracy, Izby gospodarcze, Jednostki organizacyjne działające w imieniu jednostek samorządu terytorialnego, Jednostki Samorządu Terytorialnego, Lokalne Grupy Działania, MŚP, Niepubliczne podmioty integracji i pomocy społecznej, Organizacje pozarządowe, Organizacje zrzeszające pracodawców, Ośrodki innowacji, Ośrodki kształcenia dorosłych, Partnerstwa instytucji pozarządowych, Partnerstwa Publiczno-Prywatne, Partnerzy gospodarczy, Podmioty ekonomii społecznej, Podmioty świadczące usługi publiczne w ramach realizacji obowiązków własnych jednostek samorządu terytorialnego, Związki zawodowe</w:t>
      </w:r>
    </w:p>
    <w:p w14:paraId="02C515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5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obywatele państw trzecich, pracodawcy zatrudniający obywateli państw trzecich, społeczeństwo przyjmujące</w:t>
      </w:r>
    </w:p>
    <w:p w14:paraId="02C515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5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aktywizacja_społeczna, integracja_migrantów, integracja_społeczna, migracje_zarobkowe</w:t>
      </w:r>
    </w:p>
    <w:p w14:paraId="02C515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5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5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5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5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5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5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15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15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5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5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5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5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5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5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5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WLWK-PLICO05 - Liczba utworzonych Centrów Integracji Cudzoziemców</w:t>
      </w:r>
    </w:p>
    <w:p w14:paraId="02C515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rezultatu</w:t>
      </w:r>
    </w:p>
    <w:p w14:paraId="02C515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02C515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5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02C515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2C515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5B8"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0" w:name="_Toc235079808"/>
      <w:r>
        <w:rPr>
          <w:rFonts w:ascii="Calibri" w:hAnsi="Calibri" w:cs="Calibri"/>
          <w:sz w:val="32"/>
        </w:rPr>
        <w:t>Działanie FESL.07.04 Usługi społeczne</w:t>
      </w:r>
      <w:bookmarkEnd w:id="70"/>
    </w:p>
    <w:p w14:paraId="02C515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5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02C515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5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54 230 005,00</w:t>
      </w:r>
    </w:p>
    <w:p w14:paraId="02C515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5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48 521 583,00</w:t>
      </w:r>
    </w:p>
    <w:p w14:paraId="02C515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5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158 - Działania w celu zwiększenia równego i szybkiego dostępu do dobrej jakości trwałych i przystępnych cenowo usług</w:t>
      </w:r>
    </w:p>
    <w:p w14:paraId="02C515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5C2" w14:textId="499638F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celu rozwoju usług społecznych świadczonych w społeczności lokalnej skierowanych do osób potrzebujących wsparcia w codziennym funkcjonowaniu (które ze względu na wiek, stan zdrowia lub niepełnosprawność wymagają opieki lub wsparcia w związku z niemożnością samodzielnego wykonywania co najmniej jednej z podstawowych czynności dnia codziennego) oraz do osób z niepełnosprawnościami, przewiduje się realizację następujących typów projektów:</w:t>
      </w:r>
      <w:r>
        <w:br/>
        <w:t>1.</w:t>
      </w:r>
      <w:r>
        <w:tab/>
        <w:t>Usługi opiekuńcze, asystenckie, wytchnieniowe</w:t>
      </w:r>
      <w:r w:rsidR="002D509E">
        <w:t xml:space="preserve"> </w:t>
      </w:r>
      <w:r>
        <w:t>i wsparcie opiekunów faktycznych.</w:t>
      </w:r>
      <w:r>
        <w:br/>
        <w:t>2.</w:t>
      </w:r>
      <w:r>
        <w:tab/>
        <w:t>Usługi świadczone w ośrodkach wsparcia w formie dziennej.</w:t>
      </w:r>
      <w:r>
        <w:br/>
        <w:t>3.</w:t>
      </w:r>
      <w:r>
        <w:tab/>
        <w:t>Mieszkania chronione, wspomagane i inne formy</w:t>
      </w:r>
      <w:r w:rsidR="002D509E">
        <w:t xml:space="preserve"> </w:t>
      </w:r>
      <w:r>
        <w:t xml:space="preserve">mieszkalnictwa wspólnego, w tym rodzinne domy pomocy. </w:t>
      </w:r>
      <w:r>
        <w:br/>
        <w:t>4.</w:t>
      </w:r>
      <w:r>
        <w:tab/>
        <w:t>Deinstytucjonalizacja placówek całodobowych.</w:t>
      </w:r>
      <w:r>
        <w:br/>
      </w:r>
      <w:r>
        <w:lastRenderedPageBreak/>
        <w:t>Typ 1. Usługi opiekuńcze, asystenckie, wytchnieniowe i wsparcie opiekunów faktycznych dedykowane są dla osób potrzebujących wsparcia w codziennym funkcjonowaniu, osób z niepełnosprawnością i ich opiekunów. Możliwe do realizacji formy wsparcia to w szczególności:</w:t>
      </w:r>
      <w:r>
        <w:br/>
        <w:t>a)</w:t>
      </w:r>
      <w:r>
        <w:tab/>
        <w:t>działania w zakresie rozwoju usług świadczonych w społeczności lokalnej: opiekuńczych, sąsiedzkich, w klubie seniora, specjalistycznych usług opiekuńczych;</w:t>
      </w:r>
      <w:r>
        <w:br/>
        <w:t>b)</w:t>
      </w:r>
      <w:r>
        <w:tab/>
        <w:t>usługi opieki wytchnieniowej, których celem jest zapewnienie opieki nad osobą potrzebującą wsparcia w codziennym funkcjonowaniu w zastępstwie za opiekuna faktycznego (w związku ze zdarzeniem losowym, potrzebą załatwienia codziennych spraw lub odpoczynku opiekuna faktycznego) oraz wsparcie dla opiekuna faktycznego, w szczególności w postaci poradnictwa specjalistycznego, edukacji, grup samopomocowych;</w:t>
      </w:r>
      <w:r>
        <w:br/>
        <w:t>c)</w:t>
      </w:r>
      <w:r>
        <w:tab/>
        <w:t>usługi asystenckie, wspierające aktywność społeczną, edukacyjną lub zawodową osób z niepełnosprawnościami;</w:t>
      </w:r>
      <w:r>
        <w:br/>
        <w:t>d)</w:t>
      </w:r>
      <w:r>
        <w:tab/>
        <w:t>wykorzystanie nowoczesnych technologii informacyjno-komunikacyjnych, np. teleopieki czy systemów przywoławczych, wypożyczanie sprzętu rehabilitacyjnego oraz usprawnienia w mieszkaniach– jako element uzupełniający i pod warunkiem zagwarantowania kompleksowości usługi opiekuńczej;</w:t>
      </w:r>
      <w:r>
        <w:br/>
        <w:t>e)</w:t>
      </w:r>
      <w:r>
        <w:tab/>
        <w:t>usługi transportu indywidualnego dla uczestników projektów z potrzebą wsparcia w zakresie mobilności – jako element uzupełniający kompleksowego projektu;</w:t>
      </w:r>
      <w:r>
        <w:br/>
        <w:t>f)</w:t>
      </w:r>
      <w:r>
        <w:tab/>
        <w:t xml:space="preserve">działania na rzecz podnoszenia kwalifikacji i kompetencji kadr świadczących usługi społeczne oraz zapewnienie dostępu do superwizji – jako element uzupełniający kompleksowego projektu. </w:t>
      </w:r>
      <w:r>
        <w:br/>
        <w:t>Typ 2. Usługi świadczone w ośrodkach wsparcia w formie dziennej.</w:t>
      </w:r>
      <w:r>
        <w:br/>
        <w:t>Planowane do realizacji są następujące działania:</w:t>
      </w:r>
      <w:r>
        <w:br/>
        <w:t>a)</w:t>
      </w:r>
      <w:r>
        <w:tab/>
        <w:t xml:space="preserve">utworzenie nowych miejsc lub </w:t>
      </w:r>
      <w:r>
        <w:br/>
        <w:t>b)</w:t>
      </w:r>
      <w:r>
        <w:tab/>
        <w:t>rozszerzenie oferty wsparcia</w:t>
      </w:r>
      <w:r>
        <w:br/>
        <w:t>w ośrodkach wsparcia świadczących usługi w formie dziennej dla osób z zaburzeniami psychicznymi i z niepełnosprawnością intelektualną lub dziennych domach pomocy (zarówno w formie pobytu dziennego jak i całodobowego), o ile liczba miejsc całodobowego pobytu w tych ośrodkach nie jest większa niż 8.</w:t>
      </w:r>
      <w:r>
        <w:br/>
        <w:t>Typ 3. Mieszkania chronione, wspomagane i inne formy mieszkalnictwa wspólnego, w tym rodzinne domy pomocy.</w:t>
      </w:r>
      <w:r>
        <w:br/>
        <w:t xml:space="preserve">Z uwagi na potrzebę deinstytucjonalizacji usług społecznych planowane jest podejmowanie działań w zakresie rozwoju mieszkalnictwa chronionego/wspomaganego i innych form mieszkalnictwa wspólnego. Wsparcie kierowane będzie m.in. do osób potrzebujących wsparcia w codziennym funkcjonowaniu, osób z niepełnosprawnościami. </w:t>
      </w:r>
      <w:r>
        <w:br/>
        <w:t>Możliwe do realizacji formy wsparcia to w szczególności:</w:t>
      </w:r>
      <w:r>
        <w:br/>
        <w:t>a)</w:t>
      </w:r>
      <w:r>
        <w:tab/>
        <w:t>tworzenie miejsc w nowo tworzonych lub istniejących mieszkaniach wspomaganych i chronionych oraz rozwój usług wspierających pobyt i aktywność osób w nich przebywających;</w:t>
      </w:r>
      <w:r>
        <w:br/>
        <w:t>b)</w:t>
      </w:r>
      <w:r>
        <w:tab/>
        <w:t>tworzenie nowych form mieszkalnictwa wspólnego, w tym rodzinnych domów pomocy.</w:t>
      </w:r>
      <w:r>
        <w:br/>
        <w:t xml:space="preserve">Tworzenie rodzinnych domów pomocy będzie realizowane zgodnie z Rozporządzeniem Ministra Pracy i Polityki Społecznej z dnia 31 maja 2012 r. w sprawie rodzinnych domów pomocy. W ramach kompleksowego projektu możliwe będzie sfinansowanie usług wskazanych w ww. rozporządzeniu, z zastrzeżeniem, iż usługi rehabilitacyjne będą możliwe do sfinansowania wyłącznie w zakresie opieki długoterminowej. </w:t>
      </w:r>
      <w:r>
        <w:br/>
        <w:t>Typ 4. Deinstytucjonalizacja placówek całodobowych.</w:t>
      </w:r>
      <w:r>
        <w:br/>
      </w:r>
      <w:r>
        <w:lastRenderedPageBreak/>
        <w:t>W celu wsparcia procesu deinstytucjonalizacji placówek całodobowych oraz zapobiegania umieszczaniu osób w instytucjach całodobowych i wsparcia procesu usamodzielniania możliwe do realizacji są w szczególności takie działania, jak:</w:t>
      </w:r>
      <w:r>
        <w:br/>
        <w:t>a)</w:t>
      </w:r>
      <w:r>
        <w:tab/>
        <w:t>rozwój oferty usług świadczonych przez placówkę w formule środowiskowej, w tym m.in. form wsparcia dziennego, środowiskowego, usług wytchnieniowych, mieszkalnictwa wspomaganego;</w:t>
      </w:r>
      <w:r>
        <w:br/>
        <w:t>b)</w:t>
      </w:r>
      <w:r>
        <w:tab/>
        <w:t>zapobieganie umieszczaniu osób w instytucjach z wykorzystaniem zwłaszcza mieszkalnictwa wspomaganego, usług opiekuńczych, asystenckich i innych usług specjalistycznych;</w:t>
      </w:r>
      <w:r>
        <w:br/>
        <w:t>c)</w:t>
      </w:r>
      <w:r>
        <w:tab/>
        <w:t>wsparcie procesu usamodzielniania osób przebywających w placówkach całodobowych (m.in. w domach pomocy społecznej) na podstawie indywidualnych planów usamodzielniania.</w:t>
      </w:r>
      <w:r>
        <w:br/>
        <w:t xml:space="preserve">W ramach projektów nie jest wspierana opieka instytucjonalna, tj. nie są tworzone nowe miejsca opieki w formach instytucjonalnych, nie są utrzymywane istniejące miejsca w tych placówkach oraz nie są realizowane usługi na rzecz osób w nich przebywających. W projektach możliwe jest wsparcie dla osób będących w opiece instytucjonalnej wyłącznie w celu przejścia tych osób do opieki realizowanej w formie usług świadczonych w społeczności lokalnej. </w:t>
      </w:r>
      <w:r>
        <w:br/>
        <w:t>Informacje dodatkowe</w:t>
      </w:r>
      <w:r>
        <w:br/>
        <w:t xml:space="preserve">Interwencja jest zgodna ze „Strategią rozwoju usług społecznych, polityka publiczna do roku 2030 (z perspektywą do 2035 r.)”, „Strategią Polityki Społecznej Województwa Śląskiego na lata 2020-2030” oraz „Krajowym Programem Przeciwdziałania Ubóstwu i Wykluczeniu Społecznemu. Aktualizacja 2021-2027, polityka publiczna z perspektywą do roku 2030”. </w:t>
      </w:r>
      <w:r>
        <w:br/>
        <w:t>W ramach projektów z zakresu usług społecznych rekomendowana będzie realizacja działań szkoleniowych dotyczących zapobiegania dyskryminacji i uwzględniania specyficznych potrzeb osób narażonych na dyskryminację ze względu na cechy prawnie chronione</w:t>
      </w:r>
      <w:r w:rsidR="002D509E">
        <w:t xml:space="preserve"> </w:t>
      </w:r>
      <w:r>
        <w:t>(jako działanie uzupełniające). Uzupełniająco, w przypadku usług społecznych stanowiących opiekę długoterminową, możliwe będzie sfinansowanie niezbędnych kosztów leczenia.</w:t>
      </w:r>
      <w:r>
        <w:br/>
        <w:t>Maksymalny dopuszczalny poziom cross-financingu wynosi 30% finansowania i każdorazowo zostanie doprecyzowany w regulaminie wyboru projektów, przy założeniu, że poziom cross-financingu dla priorytetu wynosi max. 15%.</w:t>
      </w:r>
      <w:r>
        <w:br/>
        <w:t>Docelowy poziom wkładu własnego i budżetu państwa zostanie określony w regulaminie wyboru projektów.</w:t>
      </w:r>
      <w:r>
        <w:br/>
        <w:t>Interwencja będzie zgodna z Regionalnym Planem Deinstytucjonalizacji, a do momentu jego przyjęcia, realizacja wsparcia będzie odbywać w uzgodnieniu pomiędzy IZ a ROPS.</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5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5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5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5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95</w:t>
      </w:r>
    </w:p>
    <w:p w14:paraId="02C515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5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5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5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5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5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5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5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5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5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02C515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5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5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5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5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5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5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5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5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5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Służby publiczne</w:t>
      </w:r>
    </w:p>
    <w:p w14:paraId="02C515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5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mieszkania_wspierane, usługi_społeczne</w:t>
      </w:r>
    </w:p>
    <w:p w14:paraId="02C515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5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5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5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5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5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5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5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5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02C515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5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5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02C515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5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5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5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5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5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WLWK-PLKLCR05 - Liczba osób, które opuściły opiekę instytucjonalną dzięki wsparciu w programie</w:t>
      </w:r>
    </w:p>
    <w:p w14:paraId="02C515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02C515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02C515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02C515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PROG-FESLR-01 - Liczba utworzonych mieszkań w ramach programu</w:t>
      </w:r>
    </w:p>
    <w:p w14:paraId="02C515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5F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1" w:name="_Toc235079809"/>
      <w:r>
        <w:rPr>
          <w:rFonts w:ascii="Calibri" w:hAnsi="Calibri" w:cs="Calibri"/>
          <w:sz w:val="32"/>
        </w:rPr>
        <w:lastRenderedPageBreak/>
        <w:t>Działanie FESL.07.05 Strategiczne projekty dla obszaru usług społecznych</w:t>
      </w:r>
      <w:bookmarkEnd w:id="71"/>
    </w:p>
    <w:p w14:paraId="02C515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5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02C515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5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18 861 811,00</w:t>
      </w:r>
    </w:p>
    <w:p w14:paraId="02C515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5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16 876 358,00</w:t>
      </w:r>
    </w:p>
    <w:p w14:paraId="02C515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5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158 - Działania w celu zwiększenia równego i szybkiego dostępu do dobrej jakości trwałych i przystępnych cenowo usług</w:t>
      </w:r>
    </w:p>
    <w:p w14:paraId="02C515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5FE" w14:textId="5A069DEC"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celu wsparcia procesu deinstytucjonalizacji usług społecznych oraz zwiększania dostępności i jakości usług świadczonych w środowisku, przewiduje się realizację następujących typów projektów: </w:t>
      </w:r>
      <w:r>
        <w:br/>
        <w:t>1.</w:t>
      </w:r>
      <w:r>
        <w:tab/>
        <w:t>Wsparcie kadr pomocy i integracji społecznej w regionie.</w:t>
      </w:r>
      <w:r>
        <w:br/>
        <w:t>2.</w:t>
      </w:r>
      <w:r>
        <w:tab/>
        <w:t>Rozwój środowiskowej oferty świadczenia usług przez DPS.</w:t>
      </w:r>
      <w:r>
        <w:br/>
        <w:t>3.</w:t>
      </w:r>
      <w:r>
        <w:tab/>
        <w:t>Działania na rzecz aktywizacji osób w wieku senioralnym potrzebujących wsparcia w codziennym funkcjonowaniu.</w:t>
      </w:r>
      <w:r w:rsidR="002D509E">
        <w:t xml:space="preserve"> </w:t>
      </w:r>
      <w:r>
        <w:br/>
        <w:t>4.</w:t>
      </w:r>
      <w:r>
        <w:tab/>
        <w:t>Koordynacja usług społecznych - upowszechnienie i tworzenie CUS.</w:t>
      </w:r>
      <w:r>
        <w:br/>
        <w:t>W ramach działania realizowane będą przedsięwzięcia strategiczne/priorytetowe</w:t>
      </w:r>
      <w:r w:rsidR="002D509E">
        <w:t xml:space="preserve"> </w:t>
      </w:r>
      <w:r>
        <w:t xml:space="preserve">wskazane w Kontrakcie Programowym. </w:t>
      </w:r>
      <w:r>
        <w:br/>
        <w:t>Typ 1. Wsparcie kadr pomocy i integracji społecznej w regionie.</w:t>
      </w:r>
      <w:r w:rsidR="002D509E">
        <w:t xml:space="preserve"> </w:t>
      </w:r>
      <w:r>
        <w:br/>
        <w:t xml:space="preserve">Kadry pomocy i integracji społecznej są kluczowym elementem procesu deinstytucjonalizacji usług społecznych. W celu niwelowania problemów społecznych regionu, w tym podniesienia jakości usług społecznych świadczonych w społeczności lokalnej, przewiduje się działania z zakresu rozwoju kompetencji i kwalifikacji kadr, w tym zwłaszcza budowania adekwatnych umiejętności do zmieniających się potrzeb i zapewnienia dostępu do superwizji (finansowana będzie wyłącznie usługa superwizji, bez możliwości kształcenia superwizorów). </w:t>
      </w:r>
      <w:r>
        <w:br/>
        <w:t>Działania projektowe nie będą powielały wsparcia realizowanego przez ROPS w ramach projektu koordynacyjnego w programie Fundusze Europejskie dla Rozwoju Społecznego 2021-2027.</w:t>
      </w:r>
      <w:r>
        <w:br/>
      </w:r>
      <w:r>
        <w:lastRenderedPageBreak/>
        <w:t>Typ 2. Rozwój środowiskowej oferty świadczenia usług przez DPS.</w:t>
      </w:r>
      <w:r>
        <w:br/>
        <w:t>Planuje się realizację projektu niekonkurencyjnego dotyczącego wsparcia procesu deinstytucjonalizacji istniejących DPS poprzez ich przekształcenie w środowiskowe centra opieki, które będą świadczyły usługi społeczne również dla osób potrzebujących wsparcia w formule środowiskowej. Wsparcie w ramach projektu będzie dotyczyło tylko i wyłącznie środowiskowych form wsparcia uruchamianych przy przekształconych DPS.</w:t>
      </w:r>
      <w:r>
        <w:br/>
        <w:t>Typ 3. Działania na rzecz aktywizacji osób w wieku senioralnym potrzebujących wsparcia w codziennym funkcjonowaniu.</w:t>
      </w:r>
      <w:r w:rsidR="002D509E">
        <w:t xml:space="preserve"> </w:t>
      </w:r>
      <w:r>
        <w:br/>
        <w:t xml:space="preserve">Z uwagi na konieczność zwiększenia aktywności osób starszych oraz rozwój usług społecznych skierowanych do seniorów przewiduje się realizację projektu niekonkurencyjnego dotyczącego kompleksowego wsparcia i aktywizacji seniorów oraz ich rodzin. </w:t>
      </w:r>
      <w:r>
        <w:br/>
        <w:t>Typ 4.</w:t>
      </w:r>
      <w:r>
        <w:tab/>
        <w:t>Koordynacja usług społecznych - upowszechnienie i tworzenie CUS.</w:t>
      </w:r>
      <w:r>
        <w:br/>
        <w:t>Celem działania jest zmiana sposobu realizacji usług w kierunku skoordynowania usług społecznych poprzez utworzenie i wsparcie funkcjonowania Centrów Usług Społecznych. Oznacza to wsparcie samorządów w działaniu na rzecz deinstytucjonalizacji usług społecznych. W ramach projektu zaplanowano wsparcie dla samorządów z terenu województwa śląskiego zainteresowanych utworzeniem CUS. Projekt jest komplementarny do działań zaplanowanych w ramach projektów koordynacyjnych FERS.</w:t>
      </w:r>
      <w:r>
        <w:br/>
        <w:t>Beneficjent: Województwo Śląskie/ Regionalny Ośrodek Polityki Społecznej Województwa Śląskiego.</w:t>
      </w:r>
      <w:r>
        <w:br/>
        <w:t>Informacje dodatkowe</w:t>
      </w:r>
      <w:r>
        <w:br/>
        <w:t>Interwencja jest zgodna ze „Strategią rozwoju usług społecznych, polityka publiczna do roku 2030 (z perspektywą do 2035 r.)”, „Strategią Polityki Społecznej Województwa Śląskiego na lata 2020-2030” oraz „Krajowym Programem Przeciwdziałania Ubóstwu i Wykluczeniu Społecznemu. Aktualizacja 2021-2027, polityka publiczna z perspektywą do roku 2030”.</w:t>
      </w:r>
      <w:r>
        <w:br/>
        <w:t>W ramach projektów strategicznych z zakresu usług społecznych możliwa będzie realizacja działań szkoleniowych dotyczących zapobiegania dyskryminacji i uwzględniania specyficznych potrzeb osób narażonych na dyskryminację ze względu na cechy prawnie chronione</w:t>
      </w:r>
      <w:r w:rsidR="002D509E">
        <w:t xml:space="preserve"> </w:t>
      </w:r>
      <w:r>
        <w:t>(jako działanie uzupełniające).</w:t>
      </w:r>
      <w:r>
        <w:br/>
        <w:t>Maksymalny dopuszczalny poziom cross-financingu wynosi 20% finansowania i każdorazowo zostanie doprecyzowany w regulaminie wyboru projektów, przy założeniu, że poziom cross-financingu dla priorytetu wynosi max. 15%.</w:t>
      </w:r>
      <w:r>
        <w:br/>
        <w:t>Docelowy poziom wkładu własnego i budżetu państwa zostanie określony w regulaminie wyboru projektów.</w:t>
      </w:r>
      <w:r>
        <w:br/>
      </w:r>
    </w:p>
    <w:p w14:paraId="02C515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6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6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6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6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02C516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6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6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6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6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6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6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6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6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20</w:t>
      </w:r>
    </w:p>
    <w:p w14:paraId="02C516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6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6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6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6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6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6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6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6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6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16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6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deinstytucjonalizacja, usługi_społeczne</w:t>
      </w:r>
    </w:p>
    <w:p w14:paraId="02C516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6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https://funduszeue.slaskie.pl/web/guest/kryteria-wyboru</w:t>
      </w:r>
    </w:p>
    <w:p w14:paraId="02C516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6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6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6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6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02C516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6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6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02C516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WLWK-PLKLCO01 - Liczba osób objętych usługami w zakresie wspierania rodziny i pieczy zastępczej</w:t>
      </w:r>
    </w:p>
    <w:p w14:paraId="02C516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6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6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6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6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6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WLWK-PLKLCR05 - Liczba osób, które opuściły opiekę instytucjonalną dzięki wsparciu w programie</w:t>
      </w:r>
    </w:p>
    <w:p w14:paraId="02C516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02C516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02C516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02C516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WLWK-PLKLCR06 - Liczba utworzonych w programie miejsc świadczenia usług wspierania rodziny i pieczy zastępczej istniejących po zakończeniu projektu</w:t>
      </w:r>
    </w:p>
    <w:p w14:paraId="02C516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PROG-FESLR-01 - Liczba utworzonych mieszkań w ramach programu</w:t>
      </w:r>
    </w:p>
    <w:p w14:paraId="02C516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630"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2" w:name="_Toc235079810"/>
      <w:r>
        <w:rPr>
          <w:rFonts w:ascii="Calibri" w:hAnsi="Calibri" w:cs="Calibri"/>
          <w:sz w:val="32"/>
        </w:rPr>
        <w:t>Działanie FESL.07.06 Ochrona zdrowia</w:t>
      </w:r>
      <w:bookmarkEnd w:id="72"/>
    </w:p>
    <w:p w14:paraId="02C516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6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02C516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6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10 952 941,00</w:t>
      </w:r>
    </w:p>
    <w:p w14:paraId="02C516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6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9 800 000,00</w:t>
      </w:r>
    </w:p>
    <w:p w14:paraId="02C516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6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160 - Działania na rzecz poprawy dostępności, efektywności i odporności systemów opieki zdrowotnej (z wyłączeniem infrastruktury)</w:t>
      </w:r>
    </w:p>
    <w:p w14:paraId="02C516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63A" w14:textId="465DDB1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Interwencja w obszarze usług zdrowotnych podejmowana będzie w odpowiedzi na problemy i wyzwania wskazane w regionalnej polityce zdrowotnej i innych dokumentach regionalnych, zgodnie z kierunkami określonymi w Wytycznych dot. realizacji projektów z udziałem środków EFS+ w regionalnych programach na lata 2021-2027 oraz dokumencie: Zdrowa przyszłość. Ramy strategiczne dla systemu ochrony zdrowia na lata 2021-2027 wraz z załącznikami. </w:t>
      </w:r>
      <w:r>
        <w:br/>
        <w:t>Przewiduje się realizację następujących typów projektu:</w:t>
      </w:r>
      <w:r>
        <w:br/>
        <w:t>Typ 1. Deinstytucjonalizacja opieki długoterminowej</w:t>
      </w:r>
      <w:r>
        <w:br/>
        <w:t>Typ 2. Deinstytucjonalizacja opieki paliatywnej i hospicyjnej</w:t>
      </w:r>
      <w:r>
        <w:br/>
        <w:t>Typ 1. Deinstytucjonalizacja opieki długoterminowej</w:t>
      </w:r>
      <w:r>
        <w:br/>
        <w:t xml:space="preserve">W ramach interwencji realizowane będą usługi opieki długoterminowej tj. usługi udzielane osobom potrzebującym wsparcia w codziennym funkcjonowaniu, w tym przewlekle chorym, które przez dłuższy czas potrzebują pomocy w podstawowych aktywnościach życia codziennego, a które nie wymagają hospitalizacji w warunkach oddziału szpitalnego. </w:t>
      </w:r>
      <w:r>
        <w:br/>
        <w:t>Opiekę długoterminową stanowią usługi zdrowotne, świadczone w warunkach domowych, w szczególności:</w:t>
      </w:r>
      <w:r>
        <w:br/>
        <w:t xml:space="preserve">- długotrwała opieka pielęgniarska, </w:t>
      </w:r>
      <w:r>
        <w:br/>
        <w:t xml:space="preserve">- rehabilitacja, </w:t>
      </w:r>
      <w:r>
        <w:br/>
        <w:t xml:space="preserve">- świadczenia terapeutyczne, </w:t>
      </w:r>
      <w:r>
        <w:br/>
        <w:t>- kontynuacja leczenia farmakologicznego i dietetycznego (z zastrzeżeniem, że koszty zakupu środków farmakologicznych ponosi pacjent),</w:t>
      </w:r>
      <w:r>
        <w:br/>
        <w:t>oraz uzupełniająco, jako element kompleksowego wsparcia: usługi pielęgnacyjne, opiekuńcze oraz inne usługi wspierające osoby objęte opieką długoterminową.</w:t>
      </w:r>
      <w:r>
        <w:br/>
        <w:t xml:space="preserve">Dodatkowy komponent wsparcia, przy zagwarantowaniu usług zdrowotnych w ramach domowej opieki </w:t>
      </w:r>
      <w:r>
        <w:lastRenderedPageBreak/>
        <w:t>długoterminowej, może stanowić:</w:t>
      </w:r>
      <w:r>
        <w:br/>
        <w:t>- wsparcie opiekunów faktycznych (nieformalnych) osób potrzebujących wsparcia w codziennym funkcjonowaniu w zakresie niezbędnym do opieki nad w/w osobą m.in. w zakresie informacji i doradztwa, prawidłowego udzielania codziennej opieki, wsparcia psychologicznego,</w:t>
      </w:r>
      <w:r>
        <w:br/>
        <w:t>- wykorzystanie nowoczesnych technologii informacyjno-komunikacyjnych np. teleopieka, systemy przywoławcze,</w:t>
      </w:r>
      <w:r>
        <w:br/>
        <w:t xml:space="preserve">- wytworzenie materiałów lub narzędzi informacyjnych lub edukacyjnych (np. platforma dla opiekunów faktycznych jako kanał łączący opiekunów faktycznych i kadrę opieki długoterminowej, narzędzia informatyczne, ułatwiającą pracę/komunikację pracowników opieki długoterminowej), </w:t>
      </w:r>
      <w:r>
        <w:br/>
        <w:t xml:space="preserve">-usługi dowozu dla osób o ograniczonej mobilności m.in. w celu zapewnienia podstawowych potrzeb życiowych (door to door), </w:t>
      </w:r>
      <w:r>
        <w:br/>
        <w:t>-wypożyczalnie sprzętu rehabilitacyjnego i opiekuńczego dla uczestników projektu,</w:t>
      </w:r>
      <w:r>
        <w:br/>
        <w:t>-wsparcie szkoleniowe kadr systemu opieki długoterminowej w przypadku, gdy jest ono niezbędne do zrealizowania całości zaplanowanej interwencji (projektu).</w:t>
      </w:r>
      <w:r>
        <w:br/>
      </w:r>
      <w:r>
        <w:br/>
        <w:t>Typ 2. Deinstytucjonalizacja opieki paliatywnej i hospicyjnej</w:t>
      </w:r>
      <w:r>
        <w:br/>
        <w:t xml:space="preserve">W ramach interwencji realizowane będą usługi opieki paliatywnej i hospicyjnej w formie domowej, definiowane jako całościowa opieka nad pacjentami chorującymi na nieuleczalne, niepoddające się leczeniu przyczynowemu, postępujące choroby. Celem świadczeń jest zapobieganie oraz uśmierzanie bólu i innych objawów somatycznych, łagodzenie cierpień psychicznych (z zastrzeżeniem, że koszty zakupu środków farmakologicznych ponosi pacjent). Świadczenia te mogą obejmować także wspomaganie rodziny chorych w czasie trwania choroby, jak i w okresie osierocenia, po śmierci chorego. </w:t>
      </w:r>
      <w:r>
        <w:br/>
        <w:t>Dodatkowo, jako element kompleksowego wsparcia możliwe do realizacji w ramach typu będzie:</w:t>
      </w:r>
      <w:r>
        <w:br/>
        <w:t>-</w:t>
      </w:r>
      <w:r w:rsidR="002D509E">
        <w:t xml:space="preserve"> </w:t>
      </w:r>
      <w:r>
        <w:t>wsparcie opiekunów faktycznych (nieformalnych) osób potrzebujących wsparcia w codziennym funkcjonowaniu w zakresie niezbędnym do opieki nad w/w osobą m.in. w zakresie informacji i doradztwa /szkolenia, prawidłowego udzielania codziennej opieki, wsparcia psychologicznego,</w:t>
      </w:r>
      <w:r>
        <w:br/>
        <w:t>- wykorzystanie nowoczesnych technologii informacyjno-komunikacyjnych np. teleopieka, systemy przywoławcze,</w:t>
      </w:r>
      <w:r>
        <w:br/>
        <w:t xml:space="preserve">- wytworzenie materiałów lub narzędzi informacyjnych lub edukacyjnych (np. platforma dla opiekunów faktycznych jako kanał łączący opiekunów faktycznych i kadrę systemu opieki hospicyjno - paliatywnej narzędzia informatyczne, ułatwiające pracę/komunikację kadry systemu opieki hospicyjno - paliatywnej), </w:t>
      </w:r>
      <w:r>
        <w:br/>
        <w:t xml:space="preserve">-usługi dowozu dla osób o ograniczonej mobilności m.in. w celu zapewnienia podstawowych potrzeb życiowych (door to door), </w:t>
      </w:r>
      <w:r>
        <w:br/>
        <w:t>-wypożyczalnie sprzętu rehabilitacyjnego i opiekuńczego dla uczestników projektu,</w:t>
      </w:r>
      <w:r>
        <w:br/>
        <w:t>-wsparcie szkoleniowe kadr systemu opieki hospicyjno – paliatywnej w przypadku, gdy jest ono niezbędne do zrealizowania całości zaplanowanej interwencji (projektu)</w:t>
      </w:r>
      <w:r>
        <w:br/>
        <w:t>W ramach typu, przedsięwzięcia będą realizowane zgodnie z Rozporządzeniem Ministra Zdrowia z dnia 29 października 2013 r. w sprawie świadczeń gwarantowanych z zakresu opieki paliatywnej i hospicyjnej.</w:t>
      </w:r>
      <w:r>
        <w:br/>
        <w:t>Maksymalny dopuszczalny poziom cross-financingu wynosi 30% finansowania i każdorazowo zostanie doprecyzowany w regulaminie wyboru projektów przy założeniu, że poziom cross-financingu dla priorytetu wynosi max. 15%.</w:t>
      </w:r>
      <w:r>
        <w:br/>
      </w:r>
      <w:r>
        <w:br/>
      </w:r>
      <w:r>
        <w:lastRenderedPageBreak/>
        <w:t xml:space="preserve">Wszystkie usługi zdrowotne realizowane w ramach działania muszą być udzielanie w oparciu o Evidence Based Medicine, tj. medycynie opartej na faktach i wynikającej z najlepszej dostępnej wiedzy pochodzącej z systematycznych badań naukowych. </w:t>
      </w:r>
      <w:r>
        <w:br/>
        <w:t>Finansowanie leczenia jest możliwe wyłącznie w ramach opieki długoterminowej lub hospicyjno-paliatywnej, świadczonych w formie środowiskowej, jako wsparcie tymczasowe.</w:t>
      </w:r>
      <w:r>
        <w:br/>
        <w:t xml:space="preserve">Działanie będzie realizowane z uwzględnieniem zasad horyzontalnych (zgodnie z art. 9 Rozporządzenia Parlamentu Europejskiego i Rady (UE) nr 2021/1060 z dnia 24 czerwca 2021 r.), a obowiązek ich stosowania wynika z Umowy Partnerstwa, programu oraz wytycznych. </w:t>
      </w:r>
      <w:r>
        <w:br/>
      </w:r>
    </w:p>
    <w:p w14:paraId="02C516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6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6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6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6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6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6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6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6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6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6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6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6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6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02C516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6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5%</w:t>
      </w:r>
    </w:p>
    <w:p w14:paraId="02C516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6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6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6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6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6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6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6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Służby publiczne</w:t>
      </w:r>
    </w:p>
    <w:p w14:paraId="02C516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6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deinstytucjonalizacja, opieka_długoterminowa, opieka_hospicyjna, opieka_paliatywna, usługi_zdrowotne, zdrowie</w:t>
      </w:r>
    </w:p>
    <w:p w14:paraId="02C516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6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6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6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6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6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6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6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6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02C516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6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6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02C516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6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6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WLWK-EECO12 - Liczba osób z niepełnosprawnościami objętych wsparciem w programie</w:t>
      </w:r>
    </w:p>
    <w:p w14:paraId="02C516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6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6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WLWK-PLKLCR05 - Liczba osób, które opuściły opiekę instytucjonalną dzięki wsparciu w programie</w:t>
      </w:r>
    </w:p>
    <w:p w14:paraId="02C516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02C516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02C516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02C516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66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3" w:name="_Toc235079811"/>
      <w:r>
        <w:rPr>
          <w:rFonts w:ascii="Calibri" w:hAnsi="Calibri" w:cs="Calibri"/>
          <w:sz w:val="32"/>
        </w:rPr>
        <w:t>Działanie FESL.07.07 Wsparcie rodziny, dzieci i młodzieży oraz deinstytucjonalizacja pieczy zastępczej</w:t>
      </w:r>
      <w:bookmarkEnd w:id="73"/>
    </w:p>
    <w:p w14:paraId="02C516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6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02C516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6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42 433 531,00</w:t>
      </w:r>
    </w:p>
    <w:p w14:paraId="02C516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6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37 966 844,00</w:t>
      </w:r>
    </w:p>
    <w:p w14:paraId="02C516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6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02C516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675" w14:textId="2EFE2C16"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Podejmowane działania będą zgodne z Europejską Gwarancją dla Dzieci. W celu rozwoju usług dla rodzin, dzieci i młodzieży przewiduje się realizację typów projektów:</w:t>
      </w:r>
      <w:r>
        <w:br/>
        <w:t>1.</w:t>
      </w:r>
      <w:r>
        <w:tab/>
        <w:t xml:space="preserve">Wsparcie rodzin przeżywających trudności opiekuńczo-wychowawcze lub w kryzysie. </w:t>
      </w:r>
      <w:r>
        <w:br/>
        <w:t>2.</w:t>
      </w:r>
      <w:r>
        <w:tab/>
        <w:t xml:space="preserve">Usługi dla dzieci wymagających wsparcia. </w:t>
      </w:r>
      <w:r>
        <w:br/>
        <w:t>3.</w:t>
      </w:r>
      <w:r>
        <w:tab/>
        <w:t>Usługi w zakresie interwencji kryzysowej i przeciwdziałania przemocy.</w:t>
      </w:r>
      <w:r>
        <w:br/>
        <w:t>4.</w:t>
      </w:r>
      <w:r>
        <w:tab/>
        <w:t>Wsparcie dzieci i młodzieży przebywającej w instytucjach całodobowych.</w:t>
      </w:r>
      <w:r>
        <w:br/>
        <w:t>5.</w:t>
      </w:r>
      <w:r>
        <w:tab/>
        <w:t xml:space="preserve">Deinstytucjonalizacja pieczy zastępczej i wsparcie osób usamodzielnianych opuszczających pieczę zastępczą. </w:t>
      </w:r>
      <w:r>
        <w:br/>
        <w:t>6.</w:t>
      </w:r>
      <w:r>
        <w:tab/>
        <w:t xml:space="preserve">Budowanie zdolności organizacyjnych partnerów społeczeństwa obywatelskiego (typ </w:t>
      </w:r>
      <w:r>
        <w:lastRenderedPageBreak/>
        <w:t xml:space="preserve">uzupełniający). </w:t>
      </w:r>
      <w:r>
        <w:br/>
        <w:t>Typ 1. Wsparcie rodzin przeżywających trudności opiekuńczo-wychowawcze lub w kryzysie.</w:t>
      </w:r>
      <w:r>
        <w:br/>
        <w:t>Możliwe do realizacji formy wsparcia, to m.in:</w:t>
      </w:r>
      <w:r>
        <w:br/>
        <w:t>a) asystentura rodzinna i rodziny wspierające;</w:t>
      </w:r>
      <w:r>
        <w:br/>
        <w:t xml:space="preserve">b) praca z rodziną prowadzona w szczególności w formie: konsultacji i poradnictwa specjalistycznego; terapii i mediacji; usług dla rodzin z dziećmi, w tym usług opiekuńczych i specjalistycznych; pomocy prawnej; grup wsparcia i grup samopomocowych; </w:t>
      </w:r>
      <w:r>
        <w:br/>
        <w:t>c) tworzenie i rozwój placówek wsparcia dziennego dla dzieci i młodzieży (tworzenie nowych placówek wsparcia dziennego; wsparcie istniejących placówek poprzez zwiększenie liczby miejsc w placówce lub rozszerzenie oferty wsparcia);</w:t>
      </w:r>
      <w:r>
        <w:br/>
        <w:t>d) wsparcie kadry (szkolenia pracowników zaangażowanych bezpośrednio w pracę z uczestnikami, podnoszące ich kwalifikacje w zakresie pracy z rodziną, superwizja).</w:t>
      </w:r>
      <w:r>
        <w:br/>
        <w:t>Typ 2. Usługi dla dzieci wymagających wsparcia.</w:t>
      </w:r>
      <w:r>
        <w:br/>
        <w:t>Projekty będą dotyczyły rozwoju usług dla dzieci, które wymagają wsparcia, zwłaszcza ze względu na problemy behawioralne, psychiczne czy niepełnosprawność, wynikające bezpośrednio z przeprowadzonej diagnozy. Działania obejmą w szczególności poradnictwo specjalistyczne (w tym indywidualną diagnozę i terapię zaburzeń rozwoju dzieci), wsparcie terapeutyczne, profilaktykę uzależnień, działania informacyjne/edukacyjne i świadomościowe, z uwzględnieniem aktywizacji społecznej i rozwijanie zainteresowań oraz alternatywnych form spędzania czasu wolnego. Istotnym komponentem będą działania wspierające rodziny z dziećmi z niepełnosprawnościami (np. opieka wytchnieniowa, poradnictwo psychologiczne, usługi asystenckie).</w:t>
      </w:r>
      <w:r>
        <w:br/>
        <w:t xml:space="preserve">Typ 3. Usługi w zakresie interwencji kryzysowej i przeciwdziałania przemocy. </w:t>
      </w:r>
      <w:r>
        <w:br/>
        <w:t>Przewidziano realizację projektów zapewniających kompleksowe wsparcie osobom w sytuacjach kryzysowych, które będą obejmowały m.in.:</w:t>
      </w:r>
      <w:r>
        <w:br/>
        <w:t xml:space="preserve">a) tworzenie i rozwój ośrodków interwencji kryzysowej (schronienie nie może być udzielane w placówkach świadczących opiekę instytucjonalną); </w:t>
      </w:r>
      <w:r>
        <w:br/>
        <w:t>b) zapewnienie dostępu do usług dla osób w sytuacjach kryzysowych (poradnictwo psychologiczne, konsultacje z terapeutą lub innymi specjalistami; psychoterapia, grupy wsparcia; mieszkania wspomagane lub treningowe);</w:t>
      </w:r>
      <w:r>
        <w:br/>
        <w:t>c) usługi w zakresie przeciwdziałania przemocy, w tym przemocy domowej.</w:t>
      </w:r>
      <w:r>
        <w:br/>
        <w:t xml:space="preserve">Typ 4. Wsparcie dzieci i młodzieży przebywającej w instytucjach całodobowych. </w:t>
      </w:r>
      <w:r>
        <w:br/>
        <w:t>Wsparcie będzie realizowane w szczególności w zakresie:</w:t>
      </w:r>
      <w:r>
        <w:br/>
        <w:t>a) aktywizacji społecznej, rozwoju potencjałów i zainteresowań, wsparcia psychologicznego, poradnictwa specjalistycznego, w tym diagnozy i terapii zaburzeń;</w:t>
      </w:r>
      <w:r>
        <w:br/>
        <w:t>b) wsparcia w procesie usamodzielnienia (wsparcie opiekunów usamodzielnienia, mentoring, budowanie kręgów wsparcia, mieszkania wspomagane lub treningowe - niezlokalizowane na nieruchomości, na której znajduje się placówka opieki instytucjonalnej, „usamodzielnienie na próbę”, monitoring losów wychowanków).</w:t>
      </w:r>
      <w:r>
        <w:br/>
        <w:t>Działania nie będą wzmacniały potencjału instytucjonalnego - dotyczą wyłącznie wsparcia dzieci oraz kadr w zakresie zgodnym z ideą deinstytucjonalizacji.</w:t>
      </w:r>
      <w:r>
        <w:br/>
        <w:t xml:space="preserve">Typ 5. Deinstytucjonalizacja pieczy zastępczej i wsparcie osób usamodzielnianych opuszczających pieczę zastępczą. </w:t>
      </w:r>
      <w:r>
        <w:br/>
      </w:r>
      <w:r>
        <w:lastRenderedPageBreak/>
        <w:t>Działania będą obejmowały m.in.:</w:t>
      </w:r>
      <w:r>
        <w:br/>
        <w:t>a) rozwój rodzinnych form pieczy zastępczej i wsparcie rodzin zastępczych (tworzenie rodzinnych form opieki zastępczej; opieka wytchnieniowa; poradnictwo specjalistyczne; szkolenia dla kandydatów do pełnienia funkcji rodziny zastępczej oraz prowadzenia rodzinnego domu dziecka; tematyczne szkolenia i kursy dla rodzin zastępczych i prowadzących rodzinne domy dziecka wynikające ze zdiagnozowanych potrzeb w danym powiecie; grupy wsparcia i samopomocowe; zatrudnienie koordynatorów rodzinnej pieczy zastępczej; działania informujące i promujące ideę rodzicielstwa zastępczego; adaptacja mieszkań na potrzeby prowadzenia rodzinnych form pieczy; wsparcie rodzin zastępczych przyjmujących dzieci z niepełnosprawnością; mediacje; usługi wspierające rodzinę biologiczną w celu powrotu dziecka);</w:t>
      </w:r>
      <w:r>
        <w:br/>
        <w:t>b) wsparcie dzieci przebywających w pieczy (diagnoza dzieci przebywających w pieczy i kwalifikujących się do pieczy; zatrudnienie specjalistów zgodnie z potrzebami; kontynuacja lub rozpoczęcie terapii; treningi wspierające prawidłowy rozwój; wsparcie edukacyjne; udział w wydarzeniach kulturalnych, społecznych, sportowych; nauka organizacji czasu wolnego, organizacja wypoczynku);</w:t>
      </w:r>
      <w:r>
        <w:br/>
        <w:t>c) usamodzielnianie wychowanków pieczy zastępczej (mieszkania wspomagane lub treningowe; tworzenie i realizacja indywidualnych programów usamodzielnienia wychowanków; wsparcie w procesie usamodzielnienia, np. warsztaty, treningi tematyczne, wsparcie psychologiczne, terapia uzależnień; budowanie kręgów wsparcia; monitoring usamodzielnienia; wsparcie opiekunów usamodzielnienia - szkolenia, superwizję, coaching, grupy wsparcia).</w:t>
      </w:r>
      <w:r>
        <w:br/>
        <w:t xml:space="preserve">Typ 6. Budowanie zdolności organizacyjnych partnerów społeczeństwa obywatelskiego (typ uzupełniający) – możliwy do realizacji wyłącznie w połączeniu z pozostałymi typami w tym działaniu. Działania są adresowane do organizacji z regionu oraz skoncentrowane na budowaniu potencjału parterów społeczeństwa obywatelskiego. Jednocześnie stanowią odpowiedź na wskazane w diagnozie FE SL 2021-2027 wyzwania związane z sytuacją społeczno-gospodarczą województwa, tj. zwiększenia podaży usług społecznych świadczonych w społeczności lokalnej. W interwencji łączone będzie wsparcie udzielane bezpośrednio na rzecz uczestników projektów ze wsparciem służącym budowaniu potencjału organizacji pozarządowych. </w:t>
      </w:r>
      <w:r>
        <w:br/>
        <w:t xml:space="preserve">W ramach projektów przewiduje się wsparcie w zakresie rozwijania dialogu obywatelskiego, podniesienia potencjału i rozwoju organizacji społeczeństwa obywatelskiego o zasięgu wojewódzkim, które działają na rzecz wsparcia rodzin, dzieci i młodzieży oraz rodzinnej pieczy zastępczej. Działania na rzecz budowania potencjału organizacji społeczeństwa obywatelskiego mogą obejmować kilka obszarów działań i szeroki katalog interwencji, m.in.: </w:t>
      </w:r>
      <w:r>
        <w:br/>
        <w:t>a) działania na poziomie samych organizacji (wzmocnienie zasobów ludzkich w organizacjach, wsparcie dodatkowego zatrudnienia, wsparcie rozwoju wolontariatu, budowanie bazy członkowskiej, kształtowanie postaw i umiejętności liderów/liderek);</w:t>
      </w:r>
      <w:r>
        <w:br/>
        <w:t>b) działania skierowane bezpośrednio do organizacji zapewniające lepszą wydolność materialną i finansową;</w:t>
      </w:r>
      <w:r>
        <w:br/>
        <w:t>c) działania promujące budowanie relacji z innymi sektorami;</w:t>
      </w:r>
      <w:r>
        <w:br/>
        <w:t>d) działania budujące refleksyjność działania sektora organizacji pozarządowych;</w:t>
      </w:r>
      <w:r>
        <w:br/>
        <w:t>e) działania w zakresie konsolidacji i samowiedzy środowiska organizacji pozarządowych;</w:t>
      </w:r>
      <w:r>
        <w:br/>
        <w:t>f) działania w zakresie aktywizmu obywatelskiego;</w:t>
      </w:r>
      <w:r>
        <w:br/>
        <w:t>g) działania w zakresie wsparcia i rozwoju partycypacji i rzecznictwa;</w:t>
      </w:r>
      <w:r>
        <w:br/>
        <w:t xml:space="preserve">h) działania w zakresie kształtowania i realizacji polityk publicznych w następujących wymiarach: </w:t>
      </w:r>
      <w:r>
        <w:lastRenderedPageBreak/>
        <w:t>programowania, realizacji działań, monitorowania, ewaluacji;</w:t>
      </w:r>
      <w:r>
        <w:br/>
        <w:t>i) działania w zakresie niezbędnego wsparcia technicznego i rozwoju instytucjonalnego (uzupełniająco, jako element kompleksowych działań zmierzających do budowania potencjału organizacji społeczeństwa obywatelskiego)*;</w:t>
      </w:r>
      <w:r>
        <w:br/>
        <w:t>j) działania w zakresie podnoszenia jakości (w tym poprzez rozwój kompetencji kadr) i dostępności usług świadczonych przez organizacje pozarządowe w obszarze EFS+</w:t>
      </w:r>
      <w:r w:rsidR="002D509E">
        <w:t xml:space="preserve"> </w:t>
      </w:r>
      <w:r>
        <w:t>oraz innych instrumentów polityki spójności 2021 – 2027.</w:t>
      </w:r>
      <w:r>
        <w:br/>
        <w:t>*Zgodnie z artykułem 16 Rozporządzenia EFS+ nie jest możliwe wsparcie zakupu sprzętu, ze środków EFS+. Finansowanie wynagrodzeń pracowników organizacji społeczeństwa obywatelskiego nie jest uznawane za budowanie potencjału tych organizacji. Takie wydatki mogą być kwalifikowalne wyłącznie jako element innych działań, zmierzających do budowania potencjału organizacji społeczeństwa obywatelskiego do realizacji działań z zakresu polityki zatrudnienia, edukacji i włączenia społecznego, tj. nie możliwe są działania polegające wyłącznie na finansowaniu bieżącego funkcjonowania czy kosztów operacyjnych tych organizacji.</w:t>
      </w:r>
      <w:r>
        <w:br/>
        <w:t>Informacje dodatkowe: Interwencja jest zgodna ze „Strategią rozwoju usług społecznych, polityka publiczna do roku 2030 (z perspektywą do 2035 r.)”, „Strategią Polityki Społecznej Województwa Śląskiego na lata 2020-2030” oraz „Krajowym Programem Przeciwdziałania Ubóstwu i Wykluczeniu Społecznemu. Aktualizacja 2021-2027, polityka publiczna z perspektywą do roku 2030” (typ 1-5).</w:t>
      </w:r>
      <w:r>
        <w:br/>
        <w:t>Działania wspierające dzieci powinny przyczyniać się do zwiększenia partycypacji dzieci w procesie ich wspierania i podejmowania decyzji, które ich dotyczą. Elementem projektów może być wsparcie na rzecz podnoszenia kwalifikacji, kompetencji i umiejętności pracowników podmiotów realizujących usługi dla grup docelowych oraz zapewnienie dostępu do superwizji.</w:t>
      </w:r>
      <w:r>
        <w:br/>
        <w:t>W ramach projektów z Działania 7.7 możliwa będzie realizacja działań szkoleniowych dotyczących przeciwdziałania dyskryminacji i uwzględniania specyficznych potrzeb osób narażonych na dyskryminację ze względu na cechy prawnie chronione (jako działanie uzupełniające).</w:t>
      </w:r>
      <w:r>
        <w:br/>
        <w:t>Maksymalny dopuszczalny poziom cross-financingu wynosi 30% finansowania i każdorazowo zostanie doprecyzowany w regulaminie wyboru projektów, przy założeniu, że poziom cf dla priorytetu wynosi max.15%.</w:t>
      </w:r>
      <w:r>
        <w:br/>
        <w:t>Docelowy poziom wkładu własnego i budżetu państwa zostanie określony w regulaminie wyboru projektów.</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6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6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6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6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6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02C516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6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6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6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6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6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6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6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6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02C516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6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6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6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6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6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6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6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6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6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Służby publiczne</w:t>
      </w:r>
    </w:p>
    <w:p w14:paraId="02C516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6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deinstytucjonalizacja, dialog_obywatelski, piecza_zastępcza, placówki_wsparcia_dziennego, usługi</w:t>
      </w:r>
    </w:p>
    <w:p w14:paraId="02C516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Wielkość podmiotu (w przypadku przedsiębiorstw)</w:t>
      </w:r>
    </w:p>
    <w:p w14:paraId="02C516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6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6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6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6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02C516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6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6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6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02C516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WLWK-PL0CO05 - Liczba organizacji społeczeństwa obywatelskiego wspartych w co najmniej jednym z następujących obszarów: standardy i procedury zarządzania, refleksyjność, wydolność finansowa, rzecznictwo, jakość usług, współpraca międzysektorowa</w:t>
      </w:r>
    </w:p>
    <w:p w14:paraId="02C516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WLWK-PL0CO06 - Liczba organizacji społeczeństwa obywatelskiego wspartych w zakresie wdrażania nowych metod działania lub rodzajów usług</w:t>
      </w:r>
    </w:p>
    <w:p w14:paraId="02C516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6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6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WLWK-PLKLCO01 - Liczba osób objętych usługami w zakresie wspierania rodziny i pieczy zastępczej</w:t>
      </w:r>
    </w:p>
    <w:p w14:paraId="02C516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6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6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6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6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WLWK-PL0CO07 - Liczba przedstawicieli organizacji społeczeństwa obywatelskiego (w tym wolontariuszy) objętych wsparciem w programie</w:t>
      </w:r>
    </w:p>
    <w:p w14:paraId="02C516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PROG-FESLO-06 - Liczba dzieci objętych usługami w zakresie wspierania rodziny i pieczy zastępczej </w:t>
      </w:r>
    </w:p>
    <w:p w14:paraId="02C516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PROG-FESLO-05 - Wartość wydatków kwalifikowalnych przeznaczonych na budowanie zdolności społeczeństwa obywatelskiego </w:t>
      </w:r>
    </w:p>
    <w:p w14:paraId="02C516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6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WLWK-PLKLCR01 - Liczba dzieci i młodzieży, które opuściły opiekę instytucjonalną dzięki wsparciu w programie</w:t>
      </w:r>
    </w:p>
    <w:p w14:paraId="02C516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WLWK-PL0CR02 - Liczba organizacji społeczeństwa obywatelskiego, które poprawiły lub wprowadziły nowe metody działania lub rodzaje usług</w:t>
      </w:r>
    </w:p>
    <w:p w14:paraId="02C516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WLWK-PL0CR01 - Liczba organizacji społeczeństwa obywatelskiego, które zwiększyły swój potencjał organizacyjny w co najmniej jednym z następujących obszarów: standardy i procedury zarządzania, refleksyjność, wydolność finansowa, rzecznictwo, jakość usług, współpraca międzysektorowa</w:t>
      </w:r>
    </w:p>
    <w:p w14:paraId="02C516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WLWK-PL0CR03 - Liczba przedstawicieli organizacji społeczeństwa obywatelskiego, którzy zdobyli nowe umiejętności, wiedzę lub uzyskali kwalifikacje</w:t>
      </w:r>
    </w:p>
    <w:p w14:paraId="02C516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WLWK-PLKLCR06 - Liczba utworzonych w programie miejsc świadczenia usług wspierania rodziny i pieczy zastępczej istniejących po zakończeniu projektu</w:t>
      </w:r>
    </w:p>
    <w:p w14:paraId="02C516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PROG-FESLR-01 - Liczba utworzonych mieszkań w ramach programu</w:t>
      </w:r>
    </w:p>
    <w:p w14:paraId="02C516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6AE"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4" w:name="_Toc235079812"/>
      <w:r>
        <w:rPr>
          <w:rFonts w:ascii="Calibri" w:hAnsi="Calibri" w:cs="Calibri"/>
          <w:sz w:val="32"/>
        </w:rPr>
        <w:t>Działanie FESL.07.08 Strategiczne projekty dla obszaru wsparcia rodziny</w:t>
      </w:r>
      <w:bookmarkEnd w:id="74"/>
    </w:p>
    <w:p w14:paraId="02C516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6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02C516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6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11 028 915,00</w:t>
      </w:r>
    </w:p>
    <w:p w14:paraId="02C516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6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9 867 977,00</w:t>
      </w:r>
    </w:p>
    <w:p w14:paraId="02C516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6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02C516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6B8" w14:textId="378C396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celu wsparcia procesu deinstytucjonalizacji regionalnej pieczy zastępczej oraz wdrożenia kompleksowych usług dla rodzin adopcyjnych oraz dzieci oczekujących na przysposobienie, przewiduje się realizację następujących typów projektów:</w:t>
      </w:r>
      <w:r>
        <w:br/>
        <w:t>1.</w:t>
      </w:r>
      <w:r>
        <w:tab/>
        <w:t xml:space="preserve">Rozwój usług adopcyjnych. </w:t>
      </w:r>
      <w:r>
        <w:br/>
        <w:t>2.</w:t>
      </w:r>
      <w:r>
        <w:tab/>
        <w:t>Deinstytucjonalizacja wojewódzkiej pieczy zastępczej.</w:t>
      </w:r>
      <w:r>
        <w:br/>
        <w:t>W ramach działania realizowane będą przedsięwzięcia strategiczne/priorytetowe</w:t>
      </w:r>
      <w:r w:rsidR="002D509E">
        <w:t xml:space="preserve"> </w:t>
      </w:r>
      <w:r>
        <w:t xml:space="preserve">wskazane w Kontrakcie </w:t>
      </w:r>
      <w:r>
        <w:lastRenderedPageBreak/>
        <w:t>Programowym.</w:t>
      </w:r>
      <w:r>
        <w:br/>
        <w:t>Typ 1.</w:t>
      </w:r>
      <w:r>
        <w:tab/>
        <w:t xml:space="preserve"> Rozwój usług adopcyjnych. </w:t>
      </w:r>
      <w:r>
        <w:br/>
        <w:t>Celem działania jest zapewnienie kompleksowego, wielokierunkowego wsparcia dla rodzin adopcyjnych oraz dzieci oczekujących na przysposobienie, poprzez prowadzenie skoordynowanych specjalistycznych działań edukacyjnych, terapeutycznych i diagnostycznych, przeciwdziałających marginalizacji i wykluczeniu społecznemu. Całość realizowanych działań będzie elementem wspierającym proces deinstytucjonalizacji usług świadczonych na rzecz dzieci pozbawionych opieki rodzicielskiej oraz tworzenia systemowego wsparcia dla rodzin decydujących się na adopcję dziecka.</w:t>
      </w:r>
      <w:r>
        <w:br/>
        <w:t>Beneficjent: Województwo Śląskie / Śląski Ośrodek Adopcyjny w Katowicach.</w:t>
      </w:r>
      <w:r>
        <w:br/>
        <w:t>Typ 2.</w:t>
      </w:r>
      <w:r>
        <w:tab/>
        <w:t>Deinstytucjonalizacja wojewódzkiej pieczy zastępczej.</w:t>
      </w:r>
      <w:r>
        <w:br/>
        <w:t>Celem działania jest zwiększenie dostępności usług wspierania rodziny i pieczy zastępczej na szczeblu regionu oraz deinstytucjonalizacja wojewódzkiej pieczy zastępczej.</w:t>
      </w:r>
      <w:r>
        <w:br/>
        <w:t xml:space="preserve">Główne działania w projekcie to: </w:t>
      </w:r>
      <w:r>
        <w:br/>
        <w:t xml:space="preserve">a) wspieranie rozwoju rodzinnych form pieczy zastępczej, szczególnie rodzin specjalistycznych niezawodowych i zawodowych, w tym dla dzieci przebywających w RPOT i IOP; </w:t>
      </w:r>
      <w:r>
        <w:br/>
        <w:t xml:space="preserve">b) prowadzenie minimum 3 specjalistycznych ośrodków wsparcia (Regionalnego Centrum Wspierania Pieczy Zastępczej) dla osób realizujących funkcje rodziny zastępczej, instytucji i powiatów organizujących rodzinne formy pieczy zastępczej, w tym: </w:t>
      </w:r>
      <w:r>
        <w:br/>
        <w:t xml:space="preserve">- tworzenie zaplecza w postaci stałej i dostępnej pomocy specjalistów dla dzieci powierzonych do pieczy zastępczej (np. terapii, rehabilitacji) oraz szybkiej ścieżki diagnozy specjalistycznej dla dzieci wymagających niezwłocznej pomocy, </w:t>
      </w:r>
      <w:r>
        <w:br/>
        <w:t>- tworzenie zaplecza w postaci stałej i dostępnej pomocy specjalistów dla rodziców zastępczych dzieci powierzonych do pieczy (np. superwizje, grupy wsparcia, szkolenia specjalistyczne, wsparcie i terapia dla dzieci własnych),</w:t>
      </w:r>
      <w:r>
        <w:br/>
        <w:t xml:space="preserve">- opracowanie standardów usług świadczonych przez specjalistyczne ośrodki wsparcia (Regionalne Centra Wspierania Pieczy Zastępczej); </w:t>
      </w:r>
      <w:r>
        <w:br/>
        <w:t>c) kształcenie i doskonalenie kadr pieczy i wspierania rodziny- wzrost kompetencji pracowników SWRiPZ (Systemu Wspierania Rodziny i Pieczy Zastępczej) w województwie śląskim poprzez udział w dedykowanych szkoleniach i formach doskonalących kompetencje zawodowe. Celem dodatkowym jest przeciwdziałanie wypaleniu zawodowemu poprzez udział uczestników projektu w specjalistycznych formach wsparcia takich m.in. jak superwizja indywidualna, grupowa, mentoring, coaching.</w:t>
      </w:r>
      <w:r>
        <w:br/>
        <w:t>Wsparcie w zakresie podnoszenia umiejętności kadry systemu</w:t>
      </w:r>
      <w:r w:rsidR="002D509E">
        <w:t xml:space="preserve"> </w:t>
      </w:r>
      <w:r>
        <w:t>wspierania rodziny i pieczy zastępczej zaplanowane w projekcie, nie będzie powielać działań zaplanowanych do realizacji z poziomu krajowego w ramach programu Fundusze Europejskie dla Rozwoju Społecznego 2021-2027.</w:t>
      </w:r>
      <w:r>
        <w:br/>
        <w:t>Beneficjent: Województwo Śląskie/ Regionalny Ośrodek Polityki Społecznej Województwa Śląskiego.</w:t>
      </w:r>
      <w:r>
        <w:br/>
        <w:t>Informacje dodatkowe:</w:t>
      </w:r>
      <w:r>
        <w:br/>
        <w:t>Interwencja jest zgodna ze „Strategią rozwoju usług społecznych, polityka publiczna do roku 2030 (z perspektywą do 2035 r.)”, „Strategią Polityki Społecznej Województwa Śląskiego na lata 2020-2030” oraz „Krajowym Programem Przeciwdziałania Ubóstwu i Wykluczeniu Społecznemu. Aktualizacja 2021-2027, polityka publiczna z perspektywą do roku 2030”.</w:t>
      </w:r>
      <w:r>
        <w:br/>
        <w:t xml:space="preserve">W ramach projektów strategicznych z zakresu wsparcia rodziny możliwa będzie realizacja działań szkoleniowych dotyczących zapobiegania dyskryminacji i uwzględniania specyficznych potrzeb osób </w:t>
      </w:r>
      <w:r>
        <w:lastRenderedPageBreak/>
        <w:t>narażonych na dyskryminację ze względu na cechy prawnie chronione</w:t>
      </w:r>
      <w:r w:rsidR="002D509E">
        <w:t xml:space="preserve"> </w:t>
      </w:r>
      <w:r>
        <w:t>(jako działanie uzupełniające).</w:t>
      </w:r>
      <w:r>
        <w:br/>
        <w:t>Docelowy poziom wkładu własnego i budżetu państwa zostanie określony w regulaminie wyboru projektów.</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6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6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6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6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6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6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6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6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6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6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6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6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6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6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6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6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6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6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100 000,00</w:t>
      </w:r>
    </w:p>
    <w:p w14:paraId="02C516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6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6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6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6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6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16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6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deinstytucjonalizacja, piecza_zastępcza, usługi_społeczne</w:t>
      </w:r>
    </w:p>
    <w:p w14:paraId="02C516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6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6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6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02C516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6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6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6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6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6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WLWK-PLKLCO01 - Liczba osób objętych usługami w zakresie wspierania rodziny i pieczy zastępczej</w:t>
      </w:r>
    </w:p>
    <w:p w14:paraId="02C516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6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WLWK-EECO06 - Liczba osób w wieku poniżej 18 lat objętych wsparciem w programie</w:t>
      </w:r>
    </w:p>
    <w:p w14:paraId="02C516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6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6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6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PROG-FESLO-06 - Liczba dzieci objętych usługami w zakresie wspierania rodziny i pieczy zastępczej </w:t>
      </w:r>
    </w:p>
    <w:p w14:paraId="02C516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6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WLWK-PLKLCR01 - Liczba dzieci i młodzieży, które opuściły opiekę instytucjonalną dzięki wsparciu w programie</w:t>
      </w:r>
    </w:p>
    <w:p w14:paraId="02C516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02C516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02C516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WLWK-PLKLCR06 - Liczba utworzonych w programie miejsc świadczenia usług wspierania rodziny i pieczy zastępczej istniejących po zakończeniu projektu</w:t>
      </w:r>
    </w:p>
    <w:p w14:paraId="02C516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PROG-FESLR-01 - Liczba utworzonych mieszkań w ramach programu</w:t>
      </w:r>
    </w:p>
    <w:p w14:paraId="02C516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6E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5" w:name="_Toc235079813"/>
      <w:r>
        <w:rPr>
          <w:rFonts w:ascii="Calibri" w:hAnsi="Calibri" w:cs="Calibri"/>
          <w:sz w:val="32"/>
        </w:rPr>
        <w:t>Działanie FESL.07.09 Usługi dla osób w kryzysie bezdomności, dotkniętych wykluczeniem z dostępu do mieszkań lub zagrożonych bezdomnością</w:t>
      </w:r>
      <w:bookmarkEnd w:id="75"/>
    </w:p>
    <w:p w14:paraId="02C516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6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02C516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6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8 516 471,00</w:t>
      </w:r>
    </w:p>
    <w:p w14:paraId="02C516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6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7 620 000,00</w:t>
      </w:r>
    </w:p>
    <w:p w14:paraId="02C516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6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02C516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6F4" w14:textId="2962084F"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realizowane będzie kompleksowe wsparcie dla osób w kryzysie bezdomności, dotkniętych wykluczeniem z dostępu do mieszkań lub zagrożonych bezdomnością. Przewiduje się realizację następujących typów projektów:</w:t>
      </w:r>
      <w:r>
        <w:br/>
        <w:t>1.</w:t>
      </w:r>
      <w:r>
        <w:tab/>
        <w:t xml:space="preserve">Usługi dla osób w kryzysie bezdomności, dotkniętych wykluczeniem z dostępu do mieszkań lub zagrożonych bezdomnością, w tym wsparcie tworzenia i funkcjonowania mieszkań. </w:t>
      </w:r>
      <w:r>
        <w:br/>
        <w:t>2.</w:t>
      </w:r>
      <w:r>
        <w:tab/>
        <w:t>Wdrażanie programu „Housing First - Najpierw Mieszkanie".</w:t>
      </w:r>
      <w:r>
        <w:br/>
        <w:t>3.</w:t>
      </w:r>
      <w:r>
        <w:tab/>
        <w:t>Budowanie zdolności organizacyjnych organizacji społeczeństwa obywatelskiego (typ uzupełniający).</w:t>
      </w:r>
      <w:r>
        <w:br/>
        <w:t>Typ 1. Usługi dla osób w kryzysie bezdomności,</w:t>
      </w:r>
      <w:r w:rsidR="002D509E">
        <w:t xml:space="preserve"> </w:t>
      </w:r>
      <w:r>
        <w:t xml:space="preserve">dotkniętych wykluczeniem z dostępu do mieszkań lub zagrożonych bezdomnością, w tym wsparcie tworzenia i funkcjonowania mieszkań zgodnie z Wytycznymi </w:t>
      </w:r>
      <w:r>
        <w:lastRenderedPageBreak/>
        <w:t xml:space="preserve">dotyczącymi realizacji projektów z udziałem środków Europejskiego Funduszu Społecznego Plus w regionalnych programach na lata 2021-2027, w ramach których realizowane będą w szczególności: </w:t>
      </w:r>
      <w:r>
        <w:br/>
        <w:t>a)</w:t>
      </w:r>
      <w:r>
        <w:tab/>
        <w:t>działania profilaktyczne, mające na celu zapobieganie bezdomności,</w:t>
      </w:r>
      <w:r>
        <w:br/>
        <w:t>b)</w:t>
      </w:r>
      <w:r>
        <w:tab/>
        <w:t>działania interwencyjne i aktywizujące,</w:t>
      </w:r>
      <w:r>
        <w:br/>
        <w:t>c)</w:t>
      </w:r>
      <w:r>
        <w:tab/>
        <w:t>indywidualny program wychodzenia z bezdomności,</w:t>
      </w:r>
      <w:r>
        <w:br/>
        <w:t>d)</w:t>
      </w:r>
      <w:r>
        <w:tab/>
        <w:t>działania uzupełniające (pod warunkiem zagwarantowania kompleksowego wsparcia w projekcie), w szczególności wydawanie odzieży, organizacja łaźni i pralni, wsparcie świetlic i punktów informacyjno-konsultacyjnych,</w:t>
      </w:r>
      <w:r>
        <w:br/>
        <w:t>e)</w:t>
      </w:r>
      <w:r>
        <w:tab/>
        <w:t xml:space="preserve">tworzenie i funkcjonowanie mieszkań (zgodnie z Wytycznymi dotyczącymi realizacji projektów z udziałem środków Europejskiego Funduszu Społecznego Plus w regionalnych programach na lata 2021-2027). </w:t>
      </w:r>
      <w:r>
        <w:br/>
        <w:t>Typ 2. Wdrażanie programu „Housing First - Najpierw Mieszkanie" – realizacja wsparcia mieszkaniowego przy zastosowaniu metody Najpierw Mieszkanie stanowiącej specjalistyczną formę pomocy kierowaną do osób doświadczających długotrwałej bezdomności, która zakłada zapewnienie usługi społecznej w postaci stałego mieszkania wraz z interdyscyplinarnym wsparciem.</w:t>
      </w:r>
      <w:r>
        <w:br/>
        <w:t xml:space="preserve">Typ 3. Budowanie zdolności organizacyjnych organizacji społeczeństwa obywatelskiego (typ uzupełniający) – możliwy do realizacji wyłącznie w połączeniu z pozostałymi typami w tym działaniu. </w:t>
      </w:r>
      <w:r>
        <w:br/>
        <w:t>Przewiduje się wsparcie na rzecz rozwijania dialogu obywatelskiego, podniesienia potencjału i rozwoju organizacji społeczeństwa obywatelskiego działających na rzecz osób w kryzysie bezdomności lub dotkniętych wykluczeniem z dostępu do mieszkań.</w:t>
      </w:r>
      <w:r>
        <w:br/>
        <w:t xml:space="preserve">Zakres wsparcia może obejmować m.in.: </w:t>
      </w:r>
      <w:r>
        <w:br/>
        <w:t>a)</w:t>
      </w:r>
      <w:r>
        <w:tab/>
        <w:t>poprawę standardów i procedur zarządzania w NGO , w tym podnoszenie kwalifikacji i kompetencji członków organizacji, wolontariuszy i obywateli pracujących na rzecz NGO w oparciu o analizę potrzeb organizacji; zatrudnienie dodatkowego personelu; wsparcie rozwoju wolontariatu, budowanie bazy członkowskiej, kształtowanie postaw i umiejętności liderów/liderek;</w:t>
      </w:r>
      <w:r>
        <w:br/>
        <w:t>b)</w:t>
      </w:r>
      <w:r>
        <w:tab/>
        <w:t>współpracę międzysektorową, budowanie partnerstw między organizacjami, współpraca z JST, partnerami społecznymi,</w:t>
      </w:r>
      <w:r>
        <w:br/>
        <w:t>c)</w:t>
      </w:r>
      <w:r>
        <w:tab/>
        <w:t>budowanie potencjału własnego, w tym promowanie własnej marki i działania zwiększające rozpoznawalność, ewaluacja i autoewaluacja, zapewnienie dostępu do baz danych i baz wiedzy innych środowisk, zapewnienie możliwości korzystania z ekspertyz, tworzenie banku ekspertów,</w:t>
      </w:r>
      <w:r>
        <w:br/>
        <w:t>d)</w:t>
      </w:r>
      <w:r>
        <w:tab/>
        <w:t>działania skierowane bezpośrednio do organizacji zapewniające poprawę potencjału ekonomicznego (usługi bezpośrednie lub szkolenia/doradztwo w tym zakresie),</w:t>
      </w:r>
      <w:r>
        <w:br/>
        <w:t>e)</w:t>
      </w:r>
      <w:r>
        <w:tab/>
        <w:t xml:space="preserve">rzecznictwo, w tym na rzecz członków i podopiecznych, w szczególności doświadczających wykluczenia społecznego, </w:t>
      </w:r>
      <w:r>
        <w:br/>
        <w:t>f)</w:t>
      </w:r>
      <w:r>
        <w:tab/>
        <w:t>rozwój narzędzi partycypacji obywatelskiej (wysłuchania, narady, debaty); podnoszenie zdolności do budowania koalicji;</w:t>
      </w:r>
      <w:r>
        <w:br/>
        <w:t>g)</w:t>
      </w:r>
      <w:r>
        <w:tab/>
        <w:t>działania świadomościowe promujące ideę społeczeństwa obywatelskiego w środowisku lokalnym, mające na celu zwiększenie zaufania społecznego dla NGO oraz pozyskanie nowych członków do swojej organizacji; promowanie idei równości i niezależnego życia;</w:t>
      </w:r>
      <w:r>
        <w:br/>
        <w:t>h)</w:t>
      </w:r>
      <w:r>
        <w:tab/>
        <w:t xml:space="preserve">działania w zakresie niezbędnego wsparcia technicznego i rozwoju instytucjonalnego organizacji – np. zakup sprzętu, w tym środków trwałych lub adaptacja/remont pomieszczeń, które zostaną wykazane jako niezbędne i priorytetowe dla rozwoju potencjału organizacji i świadczenia usług na rzecz </w:t>
      </w:r>
      <w:r>
        <w:lastRenderedPageBreak/>
        <w:t>osób w kryzysie bezdomności.</w:t>
      </w:r>
      <w:r>
        <w:br/>
        <w:t>Informacja dodatkowa</w:t>
      </w:r>
      <w:r>
        <w:br/>
        <w:t xml:space="preserve">Interwencja jest zgodna ze Strategią Polityki Społecznej Województwa Śląskiego na lata 2020 – 2030 oraz Krajowym Programem Przeciwdziałania Ubóstwu i Wykluczeniu Społecznemu. Aktualizacja 2021-2027, polityka publiczna z perspektywą do roku 2030” (typ 1-2). </w:t>
      </w:r>
      <w:r>
        <w:br/>
        <w:t>Docelowy poziom wkładu własnego i budżetu państwa zostanie określony w regulaminie wyboru projektów.</w:t>
      </w:r>
    </w:p>
    <w:p w14:paraId="02C516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6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6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6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6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6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6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6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6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6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6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7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7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7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02C517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7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7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7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100 000,00</w:t>
      </w:r>
    </w:p>
    <w:p w14:paraId="02C517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7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7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7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7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7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02C517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7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dialog_obywatelski, integracja_społeczna, mieszkania_treningowe, mieszkania_wspomagane, usługi</w:t>
      </w:r>
    </w:p>
    <w:p w14:paraId="02C517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7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7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7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7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7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02C517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7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7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7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WLWK-PL0CO05 - Liczba organizacji społeczeństwa obywatelskiego wspartych w co najmniej jednym z następujących obszarów: standardy i procedury zarządzania, refleksyjność, wydolność finansowa, rzecznictwo, jakość usług, współpraca międzysektorowa</w:t>
      </w:r>
    </w:p>
    <w:p w14:paraId="02C517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WLWK-PL0CO06 - Liczba organizacji społeczeństwa obywatelskiego wspartych w zakresie wdrażania nowych metod działania lub rodzajów usług</w:t>
      </w:r>
    </w:p>
    <w:p w14:paraId="02C517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7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7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7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7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WLWK-EECO12 - Liczba osób z niepełnosprawnościami objętych wsparciem w programie</w:t>
      </w:r>
    </w:p>
    <w:p w14:paraId="02C517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7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WLWK-PL0CO07 - Liczba przedstawicieli organizacji społeczeństwa obywatelskiego (w tym wolontariuszy) objętych wsparciem w programie</w:t>
      </w:r>
    </w:p>
    <w:p w14:paraId="02C517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PROG-FESLO-05 - Wartość wydatków kwalifikowalnych przeznaczonych na budowanie zdolności społeczeństwa obywatelskiego </w:t>
      </w:r>
    </w:p>
    <w:p w14:paraId="02C517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7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WLWK-PL0CR02 - Liczba organizacji społeczeństwa obywatelskiego, które poprawiły lub wprowadziły nowe metody działania lub rodzaje usług</w:t>
      </w:r>
    </w:p>
    <w:p w14:paraId="02C517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WLWK-PL0CR01 - Liczba organizacji społeczeństwa obywatelskiego, które zwiększyły swój potencjał organizacyjny w co najmniej jednym z następujących obszarów: standardy i procedury zarządzania, refleksyjność, wydolność finansowa, rzecznictwo, jakość usług, współpraca międzysektorowa</w:t>
      </w:r>
    </w:p>
    <w:p w14:paraId="02C517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02C517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WLWK-PL0CR03 - Liczba przedstawicieli organizacji społeczeństwa obywatelskiego, którzy zdobyli nowe umiejętności, wiedzę lub uzyskali kwalifikacje</w:t>
      </w:r>
    </w:p>
    <w:p w14:paraId="02C517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02C517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PROG-FESLR-01 - Liczba utworzonych mieszkań w ramach programu</w:t>
      </w:r>
    </w:p>
    <w:p w14:paraId="02C517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72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6" w:name="_Toc235079814"/>
      <w:r>
        <w:rPr>
          <w:rFonts w:ascii="Calibri" w:hAnsi="Calibri" w:cs="Calibri"/>
          <w:sz w:val="32"/>
        </w:rPr>
        <w:t>Działanie FESL.07.10 Wsparcie społeczności objętych LSR</w:t>
      </w:r>
      <w:bookmarkEnd w:id="76"/>
    </w:p>
    <w:p w14:paraId="02C517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7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02C517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7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6 717 858,00</w:t>
      </w:r>
    </w:p>
    <w:p w14:paraId="02C517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7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5 710 179,00</w:t>
      </w:r>
    </w:p>
    <w:p w14:paraId="02C517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7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02C517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734" w14:textId="50B76CDC"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W ramach formuły bezpośredniej LSR, zaplanowano z FE SL 2021-2027 wyłącznie realizację projektów w formule grantowej udzielanych przez LGD (jako beneficjenta projektu grantowego) na realizację inicjatyw oddolnych wynikających z LSR i zgłaszanych przez lokalną społeczność.</w:t>
      </w:r>
      <w:r>
        <w:br/>
        <w:t>Wszystkie projekty składane przez LGD, będą realizowane zgodnie z zasadami realizacji projektów grantowych określonymi w art. 17 ust. 4a-4g ustawy o rozwoju lokalnym z udziałem lokalnej społeczności. LGD nie będą mogły realizować grantów, natomiast będą realizować inne zadania wskazane w ww. ustawach, w tym: nabory wniosków dla grantobiorców, dokonywać oceny zgodności tych wniosków z LSR oraz lokalnymi kryteriami wyboru operacji, zawierać z grantobiorcami umowy</w:t>
      </w:r>
      <w:r w:rsidR="002D509E">
        <w:t xml:space="preserve"> </w:t>
      </w:r>
      <w:r>
        <w:t>o powierzenie grantu, rozliczać wydatki poniesione przez grantobiorców, monitorować i kontrolować realizację zadań realizowanych przez grantobiorców oraz odzyskiwać granty w przypadku ich wykorzystania niezgodnie z umową o powierzenie grantu.</w:t>
      </w:r>
      <w:r>
        <w:br/>
      </w:r>
      <w:r>
        <w:br/>
        <w:t>Przewiduje się realizację następującego typu projektu:</w:t>
      </w:r>
      <w:r>
        <w:br/>
        <w:t xml:space="preserve">Typ 1. Działania na rzecz społeczności lokalnych na terenie objętym LSR </w:t>
      </w:r>
      <w:r>
        <w:br/>
        <w:t>Wsparcie obejmie projekty skierowane do osób zagrożonych ubóstwem lub wykluczeniem społecznym, wnikające z potrzeb społeczności lokalnej, które będą służyły rozwiązaniu problemów zdiagnozowanych przez daną społeczność, pobudzaniu aktywności oraz upowszechnianiu wolontariatu. W ramach projektów możliwa będzie realizacja niezbędnych usług społecznych umożliwiających udział w procesie aktywizacji.</w:t>
      </w:r>
      <w:r>
        <w:br/>
        <w:t>W ramach Działania wybierane będą przez LGD granty, które przyczynią się do integracji społecznej osób zagrożonych ubóstwem lub wykluczeniem społecznym, w tym osób najbardziej potrzebujących i dzieci. W ramach grantów, na terenie danej LGD, realizowane wsparcie dotyczyć będzie, np. aktywizacji społecznej; rozwijania kompetencji społecznych i zainteresowań; aktywnych sposobów spędzania czasu wolnego; budowania więzi społecznych, czy wyrównywania deficytów społecznych osób bezrobotnych i nieaktywnych zawodowo, m.in. poprzez:(wspieranie integracji społecznej;</w:t>
      </w:r>
      <w:r w:rsidR="002D509E">
        <w:t xml:space="preserve"> </w:t>
      </w:r>
      <w:r>
        <w:t>wsparcia psychologicznego;</w:t>
      </w:r>
      <w:r w:rsidR="002D509E">
        <w:t xml:space="preserve"> </w:t>
      </w:r>
      <w:r>
        <w:t>budowania więzi sąsiedzkich; aktywizacji młodzieży czy seniorów; działań na rzecz wyrównywania deficytów społecznych; warsztatów wspierających rozwój kompetencji życiowych i umiejętności społecznych; działań na rzecz aktywizacji społeczności lokalnych, budowania postaw obywatelskich oraz prospołecznych w tym rozwijających wolontariat, działań zapobiegających wykluczeniu cyfrowemu i nabyciu kompetencji w zakresie obsługi komputera, w tym bankowości elektronicznej, animacji;</w:t>
      </w:r>
      <w:r w:rsidR="002D509E">
        <w:t xml:space="preserve"> </w:t>
      </w:r>
      <w:r>
        <w:t xml:space="preserve">współpracy instytucji działających na danym obszarze objętym LGD; zajęć z zakresu mediacji, rozwiązywania konfliktów w rodzinie, czy w środowisku sąsiedzkim; środowiskowych działań o charakterze informacyjnym, np. w zakresie inicjatyw ekologicznych, promujących równość szans, czy edukacyjnych. </w:t>
      </w:r>
      <w:r>
        <w:br/>
        <w:t>Ze względu na oddolny charakter RLKS ostateczny zakres działań musi być zgodny ze strategią LSR.</w:t>
      </w:r>
      <w:r>
        <w:br/>
        <w:t xml:space="preserve">W ramach projektów grantowych, LGD będą finansować wydatki na Koszty Zarządzania i Animacji Strategią LSR zgodnie z odpowiednią stawką ryczałtową wskazaną w Regulaminie wyboru projektów. Poszczególne kategorie kosztów, które zostaną objęte stawką ryczałtową dotyczyć będą zakresu działań wyszczególnionych w art. 34 ust. 1 lit. c) rozporządzenia ogólnego tj. zarządzanie strategią, jej monitorowanie i ewaluację oraz jej animowanie, w tym ułatwianie wymiany między zainteresowanymi </w:t>
      </w:r>
      <w:r>
        <w:lastRenderedPageBreak/>
        <w:t>stronami.</w:t>
      </w:r>
      <w:r>
        <w:br/>
        <w:t>W ramach Działania nie będą wspierane miejskie LSR.</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7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7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7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7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7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7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7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7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7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7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stawka ryczałtowa w oparciu o metodykę IZ [art. 53(3)(a) CPR], uproszczona metoda rozliczania wydatków w oparciu o projekt budżetu [art. 53(3)(b) CPR]</w:t>
      </w:r>
    </w:p>
    <w:p w14:paraId="02C517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7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7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7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7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7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7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7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7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Sposób wyboru projektów</w:t>
      </w:r>
    </w:p>
    <w:p w14:paraId="02C517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7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7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RLKS</w:t>
      </w:r>
    </w:p>
    <w:p w14:paraId="02C517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7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społeczne i związki wyznaniowe</w:t>
      </w:r>
    </w:p>
    <w:p w14:paraId="02C517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7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Lokalne Grupy Działania</w:t>
      </w:r>
    </w:p>
    <w:p w14:paraId="02C517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7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aktywizacja_społeczna, integracja_społeczna, lokalne_inicjatywy, obszary_wiejskie</w:t>
      </w:r>
    </w:p>
    <w:p w14:paraId="02C517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7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7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7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02C517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7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7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7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7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7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7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7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7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7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WLWK-PL0CO03 - Ludność objęta projektami w ramach strategii zintegrowanego rozwoju terytorialnego</w:t>
      </w:r>
    </w:p>
    <w:p w14:paraId="02C517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WLWK-PL0CO04 - Wspierane strategie rozwoju lokalnego kierowanego przez społeczność</w:t>
      </w:r>
    </w:p>
    <w:p w14:paraId="02C517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7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WLWK-ND001 - Nie dotyczy</w:t>
      </w:r>
    </w:p>
    <w:p w14:paraId="02C517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PROG-FESLR-03 - Liczba zrealizowanych inicjatyw lokalnych o charakterze integracyjnym</w:t>
      </w:r>
    </w:p>
    <w:p w14:paraId="02C517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76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7" w:name="_Toc235079815"/>
      <w:r>
        <w:rPr>
          <w:rFonts w:ascii="Calibri" w:hAnsi="Calibri" w:cs="Calibri"/>
          <w:sz w:val="32"/>
        </w:rPr>
        <w:t>Działanie FESL.07.11 Wsparcie społeczności mniejszościowych, w tym społeczności romskich</w:t>
      </w:r>
      <w:bookmarkEnd w:id="77"/>
    </w:p>
    <w:p w14:paraId="02C517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7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02C517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7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1 302 059,00</w:t>
      </w:r>
    </w:p>
    <w:p w14:paraId="02C517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7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1 165 000,00</w:t>
      </w:r>
    </w:p>
    <w:p w14:paraId="02C517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7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154 - Działania na rzecz poprawy dostępu grup marginalizowanych, takich jak Romowie, do edukacji, zatrudnienia, a także na rzecz wspierania ich włączenia społecznego</w:t>
      </w:r>
    </w:p>
    <w:p w14:paraId="02C517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7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Wsparcie dedykowane mniejszości etnicznej, w szczególności społeczności romskiej. </w:t>
      </w:r>
      <w:r>
        <w:br/>
        <w:t>Przewiduje się realizację następujących typów:</w:t>
      </w:r>
      <w:r>
        <w:br/>
        <w:t>Typ 1. Kompleksowe wsparcie integracyjne i edukacyjne mniejszości etnicznej, w szczególności romskiej;</w:t>
      </w:r>
      <w:r>
        <w:br/>
        <w:t>Typ 2. Budowanie zdolności organizacyjnych partnerów społeczeństwa obywatelskiego (typ uzupełniający).</w:t>
      </w:r>
      <w:r>
        <w:br/>
      </w:r>
      <w:r>
        <w:br/>
        <w:t>Typ 1. Kompleksowe wsparcie integracyjne i edukacyjne mniejszości etnicznej, w szczególności romskiej</w:t>
      </w:r>
      <w:r>
        <w:br/>
        <w:t>Członkowie mniejszości etnicznej, w tym romskiej zostaną objęci wsparciem integracyjnym, ukierunkowanym na likwidację barier w zakresie edukacji, kształcenia, poprzez podniesienie postaw prozatrudnieniowych, wyrównanie deficytów wychowawczych, komunikacyjnych i językowych, ze szczególnym uwzględnieniem potrzeb kobiet romskich, w poszanowaniu ich tradycji i dziedzictwa kulturowego przy zaangażowaniu przedstawicieli środowiska. Działania społeczne będą obejmowały również dzieci romskie w szczególności w zakresie nauki języka polskiego, działań edukacyjnych wyrównujących deficyty, aktywne formy spędzania wolnego czasu. Ważnym elementem kompleksowych projektów będzie również edukacja zdrowotna, wsparcie rodziny oraz działania antydyskryminacyjne.</w:t>
      </w:r>
      <w:r>
        <w:br/>
      </w:r>
      <w:r>
        <w:br/>
        <w:t xml:space="preserve">Typ. 2 Budowanie zdolności organizacyjnych partnerów społeczeństwa obywatelskiego (typ </w:t>
      </w:r>
      <w:r>
        <w:lastRenderedPageBreak/>
        <w:t>uzupełniający)</w:t>
      </w:r>
      <w:r>
        <w:br/>
        <w:t xml:space="preserve">Działania na rzecz budowania zdolności organizacyjnych organizacji społeczeństwa obywatelskiego - typ uzupełniający (możliwy do realizacji łącznie z typem 1). </w:t>
      </w:r>
      <w:r>
        <w:br/>
        <w:t xml:space="preserve">Przewiduje się wsparcie na rzecz rozwijania dialogu obywatelskiego, podniesienia potencjału i rozwoju organizacji społeczeństwa obywatelskiego (trzeciego sektora) działających na rzecz społeczności zmarginalizowanych takich jak Romowie. Działania są adresowane do organizacji z regionu oraz skoncentrowane na budowaniu potencjału parterów społeczeństwa obywatelskiego. W interwencji łączone będzie wsparcie udzielane bezpośrednio na rzecz uczestników projektów ze wsparciem służącym budowaniu potencjału organizacji pozarządowych. Działania na rzecz budowania potencjału organizacji społeczeństwa obywatelskiego mogą obejmować kilka obszarów działań i szeroki katalog interwencji, m.in.: </w:t>
      </w:r>
      <w:r>
        <w:br/>
        <w:t>a)</w:t>
      </w:r>
      <w:r>
        <w:tab/>
        <w:t>działania na poziomie samych organizacji (wzmocnienie zasobów ludzkich w organizacjach, wsparcie dodatkowego zatrudnienia, wsparcie rozwoju wolontariatu, budowanie bazy członkowskiej, kształtowanie postaw i umiejętności liderów/liderek);</w:t>
      </w:r>
      <w:r>
        <w:br/>
        <w:t>b)</w:t>
      </w:r>
      <w:r>
        <w:tab/>
        <w:t>działania skierowane bezpośrednio do organizacji zapewniające lepszą wydolność materialną i finansową;</w:t>
      </w:r>
      <w:r>
        <w:br/>
        <w:t>c)</w:t>
      </w:r>
      <w:r>
        <w:tab/>
        <w:t>działania promujące budowanie relacji z innymi sektorami;</w:t>
      </w:r>
      <w:r>
        <w:br/>
        <w:t>d)</w:t>
      </w:r>
      <w:r>
        <w:tab/>
        <w:t>działania budujące refleksyjność działania sektora organizacji pozarządowych;</w:t>
      </w:r>
      <w:r>
        <w:br/>
        <w:t>e)</w:t>
      </w:r>
      <w:r>
        <w:tab/>
        <w:t>działania w zakresie konsolidacji i samowiedzy środowiska organizacji pozarządowych;</w:t>
      </w:r>
      <w:r>
        <w:br/>
        <w:t>f)</w:t>
      </w:r>
      <w:r>
        <w:tab/>
        <w:t>działania w zakresie aktywizmu obywatelskiego;</w:t>
      </w:r>
      <w:r>
        <w:br/>
        <w:t>g)</w:t>
      </w:r>
      <w:r>
        <w:tab/>
        <w:t>działania w zakresie wsparcia i rozwoju partycypacji i rzecznictwa;</w:t>
      </w:r>
      <w:r>
        <w:br/>
        <w:t>h)</w:t>
      </w:r>
      <w:r>
        <w:tab/>
        <w:t>działania w zakresie kształtowania i realizacji polityk publicznych w następujących wymiarach: programowania, realizacji działań, monitorowania, ewaluacji;</w:t>
      </w:r>
      <w:r>
        <w:br/>
        <w:t>i)</w:t>
      </w:r>
      <w:r>
        <w:tab/>
        <w:t>działania w zakresie niezbędnego wsparcia technicznego i rozwoju instytucjonalnego (uzupełniająco, jako element kompleksowych działań zmierzających do budowania potencjału organizacji społeczeństwa obywatelskiego)*.</w:t>
      </w:r>
      <w:r>
        <w:br/>
        <w:t>*Zgodnie z artykułem 16 Rozporządzenia EFS+ nie jest możliwe wsparcie zakupu sprzętu, ze środków EFS+. Finansowanie wynagrodzeń pracowników organizacji społeczeństwa obywatelskiego nie jest uznawane za budowanie potencjału tych organizacji. Takie wydatki mogą być kwalifikowalne wyłącznie jako element innych działań, zmierzających do budowania potencjału organizacji społeczeństwa obywatelskiego do realizacji działań z zakresu polityki zatrudnienia, edukacji i włączenia społecznego, tj. nie możliwe są działania polegające wyłącznie na finansowaniu bieżącego funkcjonowania czy kosztów operacyjnych tych organizacji.</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p>
    <w:p w14:paraId="02C517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7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7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17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7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7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7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7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7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7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7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7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7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7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7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7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7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7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7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7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7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7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7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7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02C517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7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aktywizacja_kobiet, aktywizacja_społeczna, dialog_obywatelski, integracja_społeczna</w:t>
      </w:r>
    </w:p>
    <w:p w14:paraId="02C517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7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7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7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7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7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02C517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7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7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7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WLWK-PL0CO05 - Liczba organizacji społeczeństwa obywatelskiego wspartych w co najmniej jednym z następujących obszarów: standardy i procedury zarządzania, refleksyjność, wydolność finansowa, rzecznictwo, jakość usług, współpraca międzysektorowa</w:t>
      </w:r>
    </w:p>
    <w:p w14:paraId="02C517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WLWK-PL0CO06 - Liczba organizacji społeczeństwa obywatelskiego wspartych w zakresie wdrażania nowych metod działania lub rodzajów usług</w:t>
      </w:r>
    </w:p>
    <w:p w14:paraId="02C517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7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7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7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7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7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7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WLWK-PL0CO07 - Liczba przedstawicieli organizacji społeczeństwa obywatelskiego (w tym wolontariuszy) objętych wsparciem w programie</w:t>
      </w:r>
    </w:p>
    <w:p w14:paraId="02C517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PROG-FESLO-05 - Wartość wydatków kwalifikowalnych przeznaczonych na budowanie zdolności społeczeństwa obywatelskiego </w:t>
      </w:r>
    </w:p>
    <w:p w14:paraId="02C517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rezultatu</w:t>
      </w:r>
    </w:p>
    <w:p w14:paraId="02C517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WLWK-PL0CR02 - Liczba organizacji społeczeństwa obywatelskiego, które poprawiły lub wprowadziły nowe metody działania lub rodzaje usług</w:t>
      </w:r>
    </w:p>
    <w:p w14:paraId="02C517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WLWK-PL0CR01 - Liczba organizacji społeczeństwa obywatelskiego, które zwiększyły swój potencjał organizacyjny w co najmniej jednym z następujących obszarów: standardy i procedury zarządzania, refleksyjność, wydolność finansowa, rzecznictwo, jakość usług, współpraca międzysektorowa</w:t>
      </w:r>
    </w:p>
    <w:p w14:paraId="02C517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02C517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WLWK-PL0CR03 - Liczba przedstawicieli organizacji społeczeństwa obywatelskiego, którzy zdobyli nowe umiejętności, wiedzę lub uzyskali kwalifikacje</w:t>
      </w:r>
    </w:p>
    <w:p w14:paraId="02C517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7A2"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8" w:name="_Toc235079816"/>
      <w:r>
        <w:rPr>
          <w:rFonts w:ascii="Calibri" w:hAnsi="Calibri" w:cs="Calibri"/>
          <w:sz w:val="32"/>
        </w:rPr>
        <w:t>Działanie FESL.07.12 Rozwój dialogu obywatelskiego</w:t>
      </w:r>
      <w:bookmarkEnd w:id="78"/>
    </w:p>
    <w:p w14:paraId="02C517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7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02C517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7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3 319 412,00</w:t>
      </w:r>
    </w:p>
    <w:p w14:paraId="02C517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7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2 970 000,00</w:t>
      </w:r>
    </w:p>
    <w:p w14:paraId="02C517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7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02C517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7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realizowane będzie wsparcie na rzecz podniesienia potencjału i rozwoju organizacji społeczeństwa obywatelskiego (trzeciego sektora) z terenu województwa śląskiego działających w obszarach celów szczegółowych EFS+ określonych w Regulaminie wyboru projektów.</w:t>
      </w:r>
      <w:r>
        <w:br/>
        <w:t>Poprzez organizację społeczeństwa obywatelskiego należy rozumieć podmioty wymienione w art. 3 ust. 2 i 3 ustawy z dnia 24 kwietnia 2003 r. o działalności pożytku publicznego i o wolontariacie, z wyłączeniem partii politycznych, europejskich partii politycznych, związków zawodowych i organizacji pracodawców, samorządów zawodowych, fundacji utworzonych przez partie polityczne i europejskich fundacji politycznych.</w:t>
      </w:r>
      <w:r>
        <w:br/>
      </w:r>
      <w:r>
        <w:br/>
        <w:t>W ramach działania przewiduje się realizację następujących typów projektów:</w:t>
      </w:r>
      <w:r>
        <w:br/>
        <w:t xml:space="preserve">Typ 1. Wsparcie dialogu społecznego oraz budowanie potencjału organizacji społeczeństwa </w:t>
      </w:r>
      <w:r>
        <w:lastRenderedPageBreak/>
        <w:t>obywatelskiego.</w:t>
      </w:r>
      <w:r>
        <w:br/>
        <w:t>Typ 2. Granty na rozwój organizacji społeczeństwa obywatelskiego.</w:t>
      </w:r>
      <w:r>
        <w:br/>
        <w:t xml:space="preserve"> </w:t>
      </w:r>
      <w:r>
        <w:br/>
        <w:t>Typ 1. Wsparcie dialogu społecznego oraz budowanie potencjału organizacji społeczeństwa obywatelskiego.</w:t>
      </w:r>
      <w:r>
        <w:br/>
        <w:t xml:space="preserve">W ramach typu 1, realizowanego w trybie konkurencyjnym, zostaną wyłonione podmioty posiadające odpowiednie doświadczenie w realizacji wsparcia na rzecz podnoszenia potencjału organizacji społeczeństwa obywatelskiego. W ramach interwencji realizowanej na obszarze całego województwa śląskiego z uwzględnieniem każdego z subregionów, wybrane podmioty będą świadczyć kompleksowe wsparcie na rzecz organizacji społeczeństwa obywatelskiego. W każdym z projektów, wybrane podmioty będą zobligowane do zapewnienia określonych instrumentów przyczyniających się do rozwoju organizacji, w tym m.in. do doradztwa na rzecz organizacji, ich sieciowania oraz działań zwiększających rozpoznawalność organizacji. </w:t>
      </w:r>
      <w:r>
        <w:br/>
      </w:r>
      <w:r>
        <w:br/>
        <w:t>Typ 2. Granty na rozwój organizacji społeczeństwa obywatelskiego.</w:t>
      </w:r>
      <w:r>
        <w:br/>
        <w:t xml:space="preserve">W ramach typu 2, realizowanego w trybie niekonkurencyjnym przez Samorząd Województwa Śląskiego, będą udzielane granty na rzecz indywidualnego wsparcia organizacji społeczeństwa obywatelskiego. Zakres interwencji będzie obejmował wsparcie finansowe w formie grantu dla organizacji na realizację zadań służących budowaniu strategii działalności i zarządzania organizacją, w tym potencjałem kadrowym i finansowym, nowych metod działania i jakości usług, rzecznictwa oraz współpracy międzysektorowej. </w:t>
      </w:r>
      <w:r>
        <w:br/>
        <w:t>Szczegółowy zakres wsparcia finansowego i merytorycznego wskazany w typie 2, zostanie określony w Regulaminie wyboru projektów.</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7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7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7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7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7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7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minimis (Dz. Urz. UE L z 15.12.2023), Rozporządzenie Komisji (UE) nr 651/2014 z dnia 17 czerwca 2014 r. uznające niektóre </w:t>
      </w:r>
      <w:r>
        <w:lastRenderedPageBreak/>
        <w:t>rodzaje pomocy za zgodne z rynkiem wewnętrznym w zastosowaniu art. 107 i 108 Traktatu (Dz. Urz. UE L 187 z 26.06.2014, str. 1, z późn. zm.)</w:t>
      </w:r>
    </w:p>
    <w:p w14:paraId="02C517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7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17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7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7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7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7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7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7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7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7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7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7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7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2C517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7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7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7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Partnerstwa, Przedsiębiorstwa</w:t>
      </w:r>
    </w:p>
    <w:p w14:paraId="02C517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7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capacity_building, dialog_obywatelski, dialog_społeczny, organizacje_pozarządowe, organizacje_społeczeństwa_obywatelskiego, partnerstwo, wzmacnianie_potencjału_społecznego</w:t>
      </w:r>
    </w:p>
    <w:p w14:paraId="02C517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7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7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7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https://funduszeue.slaskie.pl/web/guest/kryteria-wyboru</w:t>
      </w:r>
    </w:p>
    <w:p w14:paraId="02C517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7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17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17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17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WLWK-PL0CO05 - Liczba organizacji społeczeństwa obywatelskiego wspartych w co najmniej jednym z następujących obszarów: standardy i procedury zarządzania, refleksyjność, wydolność finansowa, rzecznictwo, jakość usług, współpraca międzysektorowa</w:t>
      </w:r>
    </w:p>
    <w:p w14:paraId="02C517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WLWK-PL0CO06 - Liczba organizacji społeczeństwa obywatelskiego wspartych w zakresie wdrażania nowych metod działania lub rodzajów usług</w:t>
      </w:r>
    </w:p>
    <w:p w14:paraId="02C517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17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17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17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17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17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17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WLWK-PL0CO07 - Liczba przedstawicieli organizacji społeczeństwa obywatelskiego (w tym wolontariuszy) objętych wsparciem w programie</w:t>
      </w:r>
    </w:p>
    <w:p w14:paraId="02C517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PROG-FESLO-05 - Wartość wydatków kwalifikowalnych przeznaczonych na budowanie zdolności społeczeństwa obywatelskiego </w:t>
      </w:r>
    </w:p>
    <w:p w14:paraId="02C517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7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WLWK-PL0CR02 - Liczba organizacji społeczeństwa obywatelskiego, które poprawiły lub wprowadziły nowe metody działania lub rodzaje usług</w:t>
      </w:r>
    </w:p>
    <w:p w14:paraId="02C517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WLWK-PL0CR01 - Liczba organizacji społeczeństwa obywatelskiego, które zwiększyły swój potencjał organizacyjny w co najmniej jednym z następujących obszarów: standardy i procedury zarządzania, refleksyjność, wydolność finansowa, rzecznictwo, jakość usług, współpraca międzysektorowa</w:t>
      </w:r>
    </w:p>
    <w:p w14:paraId="02C517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WLWK-PL0CR03 - Liczba przedstawicieli organizacji społeczeństwa obywatelskiego, którzy zdobyli nowe umiejętności, wiedzę lub uzyskali kwalifikacje</w:t>
      </w:r>
    </w:p>
    <w:p w14:paraId="02C517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17DE"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79" w:name="_Toc235079817"/>
      <w:r>
        <w:rPr>
          <w:rFonts w:ascii="Calibri" w:hAnsi="Calibri" w:cs="Calibri"/>
          <w:i w:val="0"/>
          <w:sz w:val="32"/>
        </w:rPr>
        <w:lastRenderedPageBreak/>
        <w:t>Priorytet FESL.08 Fundusze Europejskie na infrastrukturę dla mieszkańca</w:t>
      </w:r>
      <w:bookmarkEnd w:id="79"/>
    </w:p>
    <w:p w14:paraId="02C517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17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17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17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02C517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17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02C517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17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17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17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113 759 958,00</w:t>
      </w:r>
    </w:p>
    <w:p w14:paraId="02C517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17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111 743 518,00</w:t>
      </w:r>
    </w:p>
    <w:p w14:paraId="02C517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17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7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17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7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17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7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7F2"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0" w:name="_Toc235079818"/>
      <w:r>
        <w:rPr>
          <w:rFonts w:ascii="Calibri" w:hAnsi="Calibri" w:cs="Calibri"/>
          <w:sz w:val="32"/>
        </w:rPr>
        <w:t>Działanie FESL.08.01 Infrastruktura szkolnictwa wyższego</w:t>
      </w:r>
      <w:bookmarkEnd w:id="80"/>
    </w:p>
    <w:p w14:paraId="02C517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7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02C517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Wysokość alokacji ogółem (EUR)</w:t>
      </w:r>
    </w:p>
    <w:p w14:paraId="02C517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23 422 688,00</w:t>
      </w:r>
    </w:p>
    <w:p w14:paraId="02C517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7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23 422 688,00</w:t>
      </w:r>
    </w:p>
    <w:p w14:paraId="02C517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7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123 - Infrastruktura na potrzeby szkolnictwa wyższego</w:t>
      </w:r>
    </w:p>
    <w:p w14:paraId="02C517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7FC" w14:textId="267524F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Przebudowa, budowa, remont pomieszczeń w obiektach infrastruktury szkolnictwa wyższego wraz z zapewnieniem wyposażenia oraz dostosowaniem infrastruktury do edukacji włączającej. </w:t>
      </w:r>
      <w:r>
        <w:br/>
        <w:t xml:space="preserve">W działaniu poprzez budowę rozumie się, oprócz budowy, także rozbudowę, odbudowę, nadbudowę. </w:t>
      </w:r>
      <w:r>
        <w:br/>
        <w:t xml:space="preserve">Interwencja w zakresie wsparcia szkolnictwa wyższego będzie bazować na wykorzystaniu obecnej infrastruktury. Natomiast budowa obiektów budowlanych będzie możliwa w wyjątkowych sytuacjach. </w:t>
      </w:r>
      <w:r>
        <w:br/>
        <w:t xml:space="preserve">Celem głównym jest stworzenie warunków do rozwoju społeczeństwa o wysokich kwalifikacjach zawodowych poszukiwanych na rynku pracy. Poprawa warunków kształcenia na poziomie wyższym ma służyć m.in. wsparciu inwestycji podnoszących jakość obiektów dydaktycznych wraz z ich wyposażeniem. </w:t>
      </w:r>
      <w:r>
        <w:br/>
        <w:t xml:space="preserve">Diagnozę dotyczącą szkolnictwa wyższego zawiera Regionalna Polityka Rozwoju Edukacji Województwa Śląskiego. Ponadto w ramach szkolnictwa wyższego należy uwzględnić konieczność dopasowania kierunku kształcenia do specjalizacji regionalnych (Program Rozwoju Technologii Województwa Śląskiego na lata 2019-2030) lub inteligentnych specjalizacji (Regionalna Strategia Innowacji Województwa Śląskiego 2030- Inteligentne Śląskie). </w:t>
      </w:r>
      <w:r>
        <w:br/>
        <w:t>W ramach działania Wnioskodawca zobowiązany jest do dostosowania infrastruktury oraz zakupu specjalistycznego sprzętu zwiększających poziom włączenia społecznego poprzez uwzględnienie w ramach projektu elementów edukacji włączającej.</w:t>
      </w:r>
      <w:r>
        <w:br/>
        <w:t xml:space="preserve">Beneficjent zobowiązany jest do stworzenia w ramach projektu laboratoriów wraz z aparaturą do praktycznej nauki zawodu. </w:t>
      </w:r>
      <w:r>
        <w:br/>
        <w:t>Wsparcie jest przeznaczone dla infrastruktury służącej do praktycznej nauki zawodu. Kosztami kwalifikowalnymi nie będą koszty pomieszczeń ogólnodydaktycznych, nie związanych z nauczaniem praktycznym lub zawodowym. Wyjątkiem będą pomieszczenia, w których zaplanowano działania na rzecz edukacji włączającej.</w:t>
      </w:r>
      <w:r>
        <w:br/>
        <w:t>Wsparcie w niniejszym działaniu jest komplementarne ze środkami EFS+. Ponadto działania międzyregionalne, transgraniczne i transnarodowe wzmocnią potencjał inwestycji.</w:t>
      </w:r>
      <w:r>
        <w:br/>
        <w:t>Obligatoryjne warunki wsparcia:</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 xml:space="preserve">Preferowane warunki wsparcia: </w:t>
      </w:r>
      <w:r>
        <w:br/>
        <w:t xml:space="preserve">Premiowane będą projekty, które mają istotny wkład w realizację jednego z sześciu celów </w:t>
      </w:r>
      <w:r>
        <w:lastRenderedPageBreak/>
        <w:t>środowiskowych określanych w rozporządzeniu (UE) 2020/852.</w:t>
      </w:r>
      <w:r>
        <w:br/>
        <w:t>W stosownych przypadkach wsparcie realizowane będzie ze szczególnym uwzględnieniem założeń Nowego Europejskiego Bauhausu.</w:t>
      </w:r>
      <w:r>
        <w:br/>
        <w:t>Preferowana będzie realizacja zielonych zamówień publicznych w oparciu o opracowane przez KE wspólne kryteria możliwe do stosowania w państwach członkowskich Unii.</w:t>
      </w:r>
    </w:p>
    <w:p w14:paraId="02C517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7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7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8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8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8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8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8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w:t>
      </w:r>
    </w:p>
    <w:p w14:paraId="02C518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8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8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8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8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cross-financing (%)</w:t>
      </w:r>
    </w:p>
    <w:p w14:paraId="02C518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8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8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8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8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8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8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w:t>
      </w:r>
    </w:p>
    <w:p w14:paraId="02C518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8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Jednostki naukowe, Jednostki Samorządu Terytorialnego, Organizacje badawcze, Uczelnie</w:t>
      </w:r>
    </w:p>
    <w:p w14:paraId="02C518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8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edukacja, infrastruktura, infrastruktura_szkolnictwa_wyższego, student, uczelnia</w:t>
      </w:r>
    </w:p>
    <w:p w14:paraId="02C518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8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8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8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WLWK-PLRO131 - Liczba doposażonych uczelni</w:t>
      </w:r>
    </w:p>
    <w:p w14:paraId="02C518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8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8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WLWK-PLRO129 - Liczba wspartych uczelni pod kątem budowy infrastruktury dydaktycznej i naukowej</w:t>
      </w:r>
    </w:p>
    <w:p w14:paraId="02C518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WLWK-PLRO130 - Liczba wspartych uczelni pod kątem przebudowy i rozbudowy infrastruktury dydaktycznej i naukowej</w:t>
      </w:r>
    </w:p>
    <w:p w14:paraId="02C518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02C518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8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8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02C518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822"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1" w:name="_Toc235079819"/>
      <w:r>
        <w:rPr>
          <w:rFonts w:ascii="Calibri" w:hAnsi="Calibri" w:cs="Calibri"/>
          <w:sz w:val="32"/>
        </w:rPr>
        <w:lastRenderedPageBreak/>
        <w:t>Działanie FESL.08.02 Edukacja włączająca</w:t>
      </w:r>
      <w:bookmarkEnd w:id="81"/>
    </w:p>
    <w:p w14:paraId="02C518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8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02C518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8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18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8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18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8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121 - Infrastruktura na potrzeby wczesnej edukacji i opieki nad dzieckiem, 122 - Infrastruktura na potrzeby szkolnictwa podstawowego i średniego</w:t>
      </w:r>
    </w:p>
    <w:p w14:paraId="02C518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82C" w14:textId="3F97662E"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Celem działania jest umożliwienie realizacji edukacji włączającej poprzez zwiększenie dostępności placówek edukacyjnych dla dzieci i młodzieży ze specjalnymi potrzebami edukacyjnymi na poziomie przedszkolnym, podstawowym, szkoły branżowej I stopnia, szkoły branżowej II stopnia, technikum, liceum ogólnokształcącego, szkoły artystycznej. Cel zostanie osiągnięty poprzez likwidację barier architektonicznych wraz z zapewnieniem wyposażenia. Dostosowane zostaną również miejsca, w których następuje uczenie się, wychowywanie, odpoczynek i inne aktywności umożliwiające realizację edukacji włączającej. </w:t>
      </w:r>
      <w:r>
        <w:br/>
        <w:t xml:space="preserve">Działanie polega na przeorganizowaniu przestrzeni edukacyjnej, likwidacji barier architektonicznych, dostępności infrastruktury edukacyjnej zarówno w kwestii architektury jak i komunikacji. Ponadto możliwy jest zakup pomocy dydaktycznych i sprzętu specjalistycznego. Projekty w działaniu powinny być zgodne z Modelem dostępnej szkoły. </w:t>
      </w:r>
      <w:r>
        <w:br/>
        <w:t xml:space="preserve">Szkoły specjalne i inne placówki, które prowadzą do segregacji lub utrzymania segregacji jakiejkolwiek grupy defaworyzowanej i/lub zagrożonej wykluczeniem społecznym, nie będą wspierane w zakresie edukacji włączającej. </w:t>
      </w:r>
      <w:r>
        <w:br/>
        <w:t>Na późniejszym etapie, ale przed ogłoszeniem konkursu/konkursów zakres wsparcia może zostać zawężony podmiotowo lub przedmiotowo.</w:t>
      </w:r>
      <w:r>
        <w:br/>
        <w:t>Wsparcie w niniejszym działaniu jest komplementarne ze środkami EFS+. Ponadto działania międzyregionalne, transgraniczne i transnarodowe wzmocnią potencjał inwestycji.</w:t>
      </w:r>
      <w:r>
        <w:br/>
        <w:t>Obligatoryjne warunki wsparcia:</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lastRenderedPageBreak/>
        <w:t xml:space="preserve">Preferowane warunki wsparcia: </w:t>
      </w:r>
      <w:r>
        <w:br/>
        <w:t>Premiowane będą projekty, które mają istotny wkład w realizację jednego z sześciu celów środowiskowych określanych w rozporządzeniu (UE) 2020/852.</w:t>
      </w:r>
      <w:r>
        <w:br/>
        <w:t>W stosownych przypadkach wsparcie realizowane będzie ze szczególnym uwzględnieniem założeń Nowego Europejskiego Bauhausu.</w:t>
      </w:r>
      <w:r>
        <w:br/>
        <w:t>Preferowana będzie realizacja zielonych zamówień publicznych w oparciu o opracowane przez KE wspólne kryteria możliwe do stosowania w państwach członkowskich Unii.</w:t>
      </w:r>
    </w:p>
    <w:p w14:paraId="02C518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8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8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8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8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8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8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8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w:t>
      </w:r>
    </w:p>
    <w:p w14:paraId="02C518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8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8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02C518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8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8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8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8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8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8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8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8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wspierające biznes, Organizacje społeczne i związki wyznaniowe, Osoby fizyczne, Przedsiębiorstwa</w:t>
      </w:r>
    </w:p>
    <w:p w14:paraId="02C518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8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Instytucje otoczenia biznesu, Jednostki Samorządu Terytorialnego, Kościoły i związki wyznaniowe, MŚP, Organizacje pozarządowe, Osoby fizyczne</w:t>
      </w:r>
    </w:p>
    <w:p w14:paraId="02C518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8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edukacja_włączająca, infrastruktura, infrastruktura_edukacji_ogólnej, infrastruktura_edukacji_przedszkolnej, szkoła</w:t>
      </w:r>
    </w:p>
    <w:p w14:paraId="02C518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8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Mikro, Średnie</w:t>
      </w:r>
    </w:p>
    <w:p w14:paraId="02C518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8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8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8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WLWK-PLRO124 - Liczba doposażonych przedszkoli</w:t>
      </w:r>
    </w:p>
    <w:p w14:paraId="02C518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02C518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8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8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WLWK-PLRO123 - Liczba przebudowanych lub rozbudowanych przedszkoli</w:t>
      </w:r>
    </w:p>
    <w:p w14:paraId="02C518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02C518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8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WLWK-PLRR051 - Liczba przedsięwzięć proekologicznych</w:t>
      </w:r>
    </w:p>
    <w:p w14:paraId="02C518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02C518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85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2" w:name="_Toc235079820"/>
      <w:r>
        <w:rPr>
          <w:rFonts w:ascii="Calibri" w:hAnsi="Calibri" w:cs="Calibri"/>
          <w:sz w:val="32"/>
        </w:rPr>
        <w:t>Działanie FESL.08.03 Infrastruktura szkolnictwa zawodowego - ZIT</w:t>
      </w:r>
      <w:bookmarkEnd w:id="82"/>
    </w:p>
    <w:p w14:paraId="02C518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8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02C518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8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5 116 356,00</w:t>
      </w:r>
    </w:p>
    <w:p w14:paraId="02C518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8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4 514 432,00</w:t>
      </w:r>
    </w:p>
    <w:p w14:paraId="02C518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8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124 - Infrastruktura na potrzeby kształcenia i szkolenia zawodowego oraz edukacji dorosłych</w:t>
      </w:r>
    </w:p>
    <w:p w14:paraId="02C518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85E" w14:textId="31085D74"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Przebudowa, budowa, remont sal do praktycznej nauki zawodu wraz z zapewnieniem wyposażenia oraz dostosowaniem infrastruktury do kształcenia włączającego uczniów. </w:t>
      </w:r>
      <w:r>
        <w:br/>
        <w:t>W działaniu poprzez budowę rozumie się, oprócz budowy, także rozbudowę, odbudowę, nadbudowę.</w:t>
      </w:r>
      <w:r w:rsidR="002D509E">
        <w:t xml:space="preserve"> </w:t>
      </w:r>
      <w:r>
        <w:br/>
        <w:t xml:space="preserve">Celem działania jest zwiększenie kompetencji uczniów szkół kształcących w zawodach, poprzez inwestycje w infrastrukturę (stworzenie warunków zbliżonych do rzeczywistego środowiska pracy zawodowej pod kątem wyposażenia, doposażenia warsztatów, pracowni, itp.). </w:t>
      </w:r>
      <w:r>
        <w:br/>
        <w:t xml:space="preserve">W ramach działania wsparcie skierowane jest do szkół ponadpodstawowych (szkół branżowych I stopnia, szkół branżowych II stopnia, techników) z wyłączeniem szkół dla osób dorosłych. Dopuszcza się wsparcie placówek kształcenia ustawicznego, w których prowadzona jest praktyczna nauka zawodu dla uczniów ww. szkół ponadpodstawowych. Interwencja w zakresie wsparcia szkolnictwa zawodowego będzie bazować na wykorzystaniu obecnej infrastruktury. Budowa nowych obiektów budowlanych będzie możliwa do realizacji, jedynie w przypadku udokumentowanego braku możliwości zaadaptowania istniejących obiektów. </w:t>
      </w:r>
      <w:r>
        <w:br/>
        <w:t xml:space="preserve">Działanie wdrażane poprzez ZIT Subregionu Północnego. </w:t>
      </w:r>
      <w:r>
        <w:br/>
        <w:t xml:space="preserve">Diagnozę potrzeb jednostek samorządu terytorialnego dotyczących szkolnictwa zawodowego zawiera Regionalna Polityka Rozwoju Edukacji Województwa Śląskiego. Ponadto w ramach szkolnictwa zawodowego należy uwzględnić konieczność dopasowania kierunku kształcenia do wymagań i potrzeb rynku pracy (Barometr zawodów) lub specjalizacji regionalnych (Program Rozwoju Technologii </w:t>
      </w:r>
      <w:r>
        <w:lastRenderedPageBreak/>
        <w:t xml:space="preserve">Województwa Śląskiego na lata 2019-2030) lub inteligentnych specjalizacji (Regionalna Strategia Innowacji Województwa Śląskiego 2030- Inteligentne Śląskie). </w:t>
      </w:r>
      <w:r>
        <w:br/>
        <w:t>W ramach działania Wnioskodawca zobowiązany jest do dostosowania infrastruktury oraz zakupu specjalistycznego sprzętu zwiększających poziom włączenia społecznego poprzez uwzględnienie w ramach projektu elementów edukacji włączającej.Ponadto Wnioskodawca zobowiązany jest zastosować w zakresie dostępności przedmiotu projektu wymagania wynikające z poziomu podstawowego Modelu Dostępnej Szkoły.</w:t>
      </w:r>
      <w:r>
        <w:br/>
        <w:t>Jako uzupełnienie do sali/sal do praktycznej nauki zawodu, w przypadku gdy dany zawód wymaga pomieszczeń do przechowywania urządzeń przenośnych wykorzystywanych podczas praktyk, szatni, sanitariatów, pokojów socjalnych dla uczniów, to ww. pomieszczenia będą traktowane jako niezbędne do zrealizowania zaplanowanych działań.</w:t>
      </w:r>
      <w:r>
        <w:br/>
        <w:t>Wsparcie w niniejszym działaniu jest komplementarne ze środkami EFS+. Ponadto działania międzyregionalne, transgraniczne i transnarodowe wzmocnią potencjał inwestycji.</w:t>
      </w:r>
      <w:r>
        <w:br/>
        <w:t>Obligatoryjne warunki wsparcia:</w:t>
      </w:r>
      <w:r>
        <w:br/>
        <w:t xml:space="preserve">Działanie będzie realizowane z uwzględnieniem zasad horyzontalnych (zgodnie z art. 9 Rozporządzenia Parlamentu Europejskiego i Rady (UE) nr 2021/1060 z dnia 24 czerwca 2021 r.), a obowiązek ich stosowania wynika z Umowy Partnerstwa, programu oraz wytycznych. </w:t>
      </w:r>
      <w:r>
        <w:br/>
        <w:t xml:space="preserve">Preferowane warunki wsparcia: </w:t>
      </w:r>
      <w:r>
        <w:br/>
        <w:t>Premiowane będą projekty, które mają istotny wkład w realizację jednego z sześciu celów środowiskowych określanych w rozporządzeniu (UE) 2020/852.</w:t>
      </w:r>
      <w:r>
        <w:br/>
        <w:t>W stosownych przypadkach wsparcie realizowane będzie ze szczególnym uwzględnieniem założeń Nowego Europejskiego Bauhausu.</w:t>
      </w:r>
      <w:r>
        <w:br/>
        <w:t>Preferowana będzie realizacja zielonych zamówień publicznych w oparciu o opracowane przez KE wspólne kryteria możliwe do stosowania w państwach członkowskich Unii.</w:t>
      </w:r>
      <w:r w:rsidR="002D509E">
        <w:t xml:space="preserve"> </w:t>
      </w:r>
    </w:p>
    <w:p w14:paraId="02C518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8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8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8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8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8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8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8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w:t>
      </w:r>
    </w:p>
    <w:p w14:paraId="02C518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8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8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8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8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8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8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8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8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8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2C518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8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wspierające biznes, Organizacje społeczne i związki wyznaniowe, Przedsiębiorstwa realizujące cele publiczne, Zintegrowane Inwestycje Terytorialne (ZIT)</w:t>
      </w:r>
    </w:p>
    <w:p w14:paraId="02C518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8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Instytucje otoczenia biznesu, Jednostki Samorządu Terytorialnego, Kościoły i związki wyznaniowe, Organizacje pozarządowe, Podmioty zarządzające terenami inwestycyjnymi, Zintegrowane Inwestycje Terytorialne (ZIT)</w:t>
      </w:r>
    </w:p>
    <w:p w14:paraId="02C518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8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infrastruktura, infrastruktura_kształcenia_zawodowego, kształcenie, kształcenie_zawodowe, szkoła, szkoła_zawodowa</w:t>
      </w:r>
    </w:p>
    <w:p w14:paraId="02C518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Wielkość podmiotu (w przypadku przedsiębiorstw)</w:t>
      </w:r>
    </w:p>
    <w:p w14:paraId="02C518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18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8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8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8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02C518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8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8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02C518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WLWK-PLRO126 - Liczba wybudowanych szkół</w:t>
      </w:r>
    </w:p>
    <w:p w14:paraId="02C518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18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02C518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18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8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8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02C518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888"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3" w:name="_Toc235079821"/>
      <w:r>
        <w:rPr>
          <w:rFonts w:ascii="Calibri" w:hAnsi="Calibri" w:cs="Calibri"/>
          <w:sz w:val="32"/>
        </w:rPr>
        <w:t>Działanie FESL.08.04 Infrastruktura usług społecznych</w:t>
      </w:r>
      <w:bookmarkEnd w:id="83"/>
    </w:p>
    <w:p w14:paraId="02C518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8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14:paraId="02C518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8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13 437 909,00</w:t>
      </w:r>
    </w:p>
    <w:p w14:paraId="02C518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8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12 023 393,00</w:t>
      </w:r>
    </w:p>
    <w:p w14:paraId="02C518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8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126 - Infrastruktura mieszkaniowa (inna niż dla migrantów, uchodźców i osób objętych ochroną międzynarodową lub ubiegających się o nią), 127 - Pozostała infrastruktura społeczna przyczyniająca się do włączenia społecznego</w:t>
      </w:r>
    </w:p>
    <w:p w14:paraId="02C518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892" w14:textId="69A2F8E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Wspierane będą przedsięwzięcia dotyczące rozwoju infrastruktury społecznej powiązanej z procesem integracji społecznej, aktywizacji społeczno-zawodowej i aktywizacji społecznej, z poszanowaniem horyzontalnej zasady deinstytucjonalizacji.</w:t>
      </w:r>
      <w:r>
        <w:br/>
      </w:r>
      <w:r>
        <w:br/>
        <w:t>Celem działań planowanych do realizacji jest zwiększenie aktywnego uczestnictwa osób, które ze względu na trudną sytuację życiową, swój wiek, stan zdrowia czy niepełnosprawność wymagają opieki lub wsparcia w związku z niemożnością samodzielnego wykonywania co najmniej jednej z podstawowych czynności dnia codziennego.</w:t>
      </w:r>
      <w:r>
        <w:br/>
      </w:r>
      <w:r>
        <w:br/>
        <w:t>Wsparcie będzie komplementarne z działaniami podejmowanymi w programie regionalnym ze środków EFS+ CS (k i l) w zakresie wsparcia usług opiekuńczych świadczonych w społeczności lokalnej, opieki wytchnieniowej i wsparcia opiekunów faktycznych, usług zwiększających mobilność, usług asystenckich, teleopieki; deinstytucjonalizacji placówek całodobowych w zakresie koordynacji usług społecznych w środowisku, realizacji form wsparcia dziennego i środowiskowego; rozwoju kadr świadczących wysoką jakość usług społecznych czy wparcia dla osób opuszczających pieczę zastępczą. Dopuszcza się realizację projektów uzupełniających podejmowanych równolegle z innego funduszu lub do już zrealizowanych ze środków krajowych lub własnych Wnioskodawcy.</w:t>
      </w:r>
      <w:r>
        <w:br/>
      </w:r>
      <w:r>
        <w:br/>
        <w:t>W ramach interwencji nie będą wspierane placówki reintegracyjne</w:t>
      </w:r>
      <w:r w:rsidR="002D509E">
        <w:t xml:space="preserve"> </w:t>
      </w:r>
      <w:r>
        <w:t>(takie jak: CIS, KIS, ZAZ, WTZ).</w:t>
      </w:r>
      <w:r>
        <w:br/>
      </w:r>
      <w:r>
        <w:br/>
        <w:t xml:space="preserve">Typ projektów: </w:t>
      </w:r>
      <w:r>
        <w:br/>
        <w:t>Rozwój infrastruktury usług społecznych w tym mieszkalnictwa treningowego i wspomaganego.</w:t>
      </w:r>
      <w:r>
        <w:br/>
      </w:r>
      <w:r>
        <w:br/>
        <w:t>Przedmiot wsparcia:</w:t>
      </w:r>
      <w:r>
        <w:br/>
      </w:r>
      <w:r>
        <w:br/>
        <w:t>A. Rozwój mieszkalnictwa treningowego i wspomaganego powiązany z procesem integracji społecznej i aktywizacji społeczno – zawodowej. Tworzenie miejsc w nowo powstałych lub istniejących lokalach mieszkalnych poprzez przeprowadzenie robót budowlanych, w tym zakup niezbędnego wyposażenia.</w:t>
      </w:r>
      <w:r>
        <w:br/>
      </w:r>
      <w:r>
        <w:br/>
        <w:t>Wspierane inwestycje muszą stosować standard dotyczący tej formy pomocy wynikający z ustawy z dnia 12 marca 2004 r. o pomocy społecznej i aktów wykonawczych wydanych na podstawie tej ustawy, chyba że zapisy Regulaminu wyboru projektów stanowią inaczej.</w:t>
      </w:r>
      <w:r>
        <w:br/>
      </w:r>
      <w:r>
        <w:br/>
        <w:t>Inwestycje nie mogą przyczyniać się do segregacji przestrzennej grup marginalizowanych, a wsparte lokale nie powinny być zlokalizowane na obszarach odizolowanych od społeczności lokalnej i słabo skomunikowanej.</w:t>
      </w:r>
      <w:r>
        <w:br/>
      </w:r>
      <w:r>
        <w:lastRenderedPageBreak/>
        <w:br/>
        <w:t>Mieszkania treningowe/mieszkania wspomagane nie mogą być zlokalizowane na nieruchomości, na której znajduje się placówka opieki instytucjonalnej, rozumiana zgodnie z definicją zawartą w Wytycznych dotyczących realizacji projektów z udziałem środków Europejskiego Funduszu Społecznego Plus w regionalnych programach na lata 2021–2027.</w:t>
      </w:r>
      <w:r>
        <w:br/>
      </w:r>
      <w:r>
        <w:br/>
        <w:t xml:space="preserve">Przedmiotem adaptacji mogą być tylko takie lokale, które przed rozpoczęciem realizacji projektu nie spełniały funkcji mieszkań wspomaganych bądź treningowych. </w:t>
      </w:r>
      <w:r>
        <w:br/>
      </w:r>
      <w:r>
        <w:br/>
        <w:t xml:space="preserve">W sytuacji, gdy lokal pełnił taką funkcję, ale ze względu na jego stan nie nadaje się do zamieszkania, może być przedmiotem projektu. </w:t>
      </w:r>
      <w:r>
        <w:br/>
      </w:r>
      <w:r>
        <w:br/>
        <w:t>Wsparcie w istniejących mieszkaniach treningowych i wspomaganych możliwe jest pod warunkiem zwiększenia liczby miejsc świadczenia usług w danym mieszkaniu, z zachowaniem obowiązujących na dzień zamknięcia naboru uregulowań prawnych dotyczących mieszkań wspomaganych i treningowych.</w:t>
      </w:r>
      <w:r>
        <w:br/>
      </w:r>
      <w:r>
        <w:br/>
        <w:t xml:space="preserve">Prace budowlane mogą obejmować części wspólne budynku mieszkalnego, w którym miałoby się znajdować jedno lub kilka mieszkań treningowych i/lub wspomaganych, pod warunkiem, że ilość tych lokali będzie stanowić więcej niż 50% wszystkich lokali mieszkalnych w danym budynku. Ograniczenie nie ma zastosowania do prac budowlanych obejmujących części wspólne, polegających na dostosowaniu budynku do potrzeb osób z niepełnosprawnościami. </w:t>
      </w:r>
      <w:r>
        <w:br/>
      </w:r>
      <w:r>
        <w:br/>
        <w:t>W przypadku nieruchomości, w której znajduje się do 8 lokali włącznie, mieszkania treningowe i/lub wspomagane mogą stanowić do 50% lokali. W nieruchomości o większej liczbie lokali, maksymalna liczba takich mieszkań wynosi 4 i 25% nadwyżki liczby lokali powyżej 4. W przypadku mieszkań treningowych/wspomaganych, w których przebywa jedna osoba, mieszkania te mogą stanowić 100% lokali w przypadku nieruchomości, w której znajduje się do 8 lokali włącznie, a w przypadku większych nieruchomości ― odpowiednio 25% nadwyżki liczby lokali powyżej 8.</w:t>
      </w:r>
      <w:r>
        <w:br/>
      </w:r>
      <w:r>
        <w:br/>
        <w:t>Wsparcie nie będzie przeznaczane na wydatki dotyczące zagospodarowania terenu, za wyjątkiem wydatków związanych z zapewnieniem dostępności dla osób z niepełnosprawnościami niezbędnych dla osiągnięcia celu projektu.</w:t>
      </w:r>
      <w:r>
        <w:br/>
      </w:r>
      <w:r>
        <w:br/>
        <w:t>B. Tworzenie i rozwój placówek dziennego pobytu, przyczyniające się do rozwoju usług świadczonych w społeczności lokalnej, w tym opieki wytchnieniowej (opieka zastępcza na czas odpoczynku/nieobecności opiekuna faktycznego) w formie dziennej lub krótkookresowego pobytu całodobowego świadczonych na rzecz osób wymagających wsparcia w codziennym funkcjonowaniu ze względu na wiek, niepełnosprawność lub chorobę wraz z ich otoczeniem.</w:t>
      </w:r>
      <w:r>
        <w:br/>
      </w:r>
      <w:r>
        <w:br/>
        <w:t xml:space="preserve">Działania będą realizowane poprzez przeprowadzenie robót budowlanych (m.in. budowę, rozbudowę, przebudowę, remont), w tym zakup niezbędnego wyposażenia oraz przystosowanie infrastruktury do potrzeb osób z niepełnosprawnościami. Roboty budowalne mogą obejmować wydatki </w:t>
      </w:r>
      <w:r>
        <w:lastRenderedPageBreak/>
        <w:t>na zagospodarowanie bezpośredniego otoczenia funkcjonalnie powiązanego z realizowanym projektem.</w:t>
      </w:r>
      <w:r>
        <w:br/>
      </w:r>
      <w:r>
        <w:br/>
        <w:t>Placówki zapewniające całodobową opiekę wytchnieniową w formie nieinstytucjonalnej, nie mogą być zlokalizowane na nieruchomości, na której znajduje się inna placówka świadcząca opiekę instytucjonalną.</w:t>
      </w:r>
      <w:r>
        <w:br/>
      </w:r>
      <w:r>
        <w:br/>
        <w:t>Obligatoryjne warunki wsparcia:</w:t>
      </w:r>
      <w:r>
        <w:br/>
      </w:r>
      <w:r>
        <w:br/>
        <w:t>Wsparcie nie będzie obejmować inwestycji infrastrukturalnych w placówki świadczące całodobową opiekę długoterminową (całodobowe usługi opiekuńcze) w formach instytucjonalnych.</w:t>
      </w:r>
      <w:r>
        <w:br/>
      </w:r>
      <w:r>
        <w:br/>
        <w:t>Wspierane będą inwestycje, które są zgodne z kierunkami rozwoju dla obszaru usług społecznych wskazanymi w Strategii rozwoju usług społecznych, polityka publiczna do roku 2030 (z perspektywą do 2035 r.), Krajowym Programem Przeciwdziałania Ubóstwu i Wykluczeniu Społecznemu. Aktualizacja 2021-2027 z perspektywą do roku 2030 oraz Regionalnym Planem rozwoju usług społecznych i deinstytucjonalizacji w województwie śląskim na lata 2023-2025.</w:t>
      </w:r>
      <w:r>
        <w:br/>
      </w:r>
      <w:r>
        <w:br/>
        <w:t>Przygotowanie projektu powinno być poprzedzone analizą dostępnych form świadczenia usług (tj. instytucjonalne, środowiskowe i w rodzinie) oraz uwzględniać indywidualne potrzeby jednostek, które będą odbiorcami usług (w tym preferowane przez nich opcje opieki nieinstytucjonalnej). Jeśli opcje preferowane przez odbiorców usług nie są dostępne, priorytetem powinno być ich zapewnienie.</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Preferowane warunki wsparcia:</w:t>
      </w:r>
      <w:r>
        <w:br/>
      </w:r>
      <w:r>
        <w:br/>
        <w:t xml:space="preserve">We wszystkich projektach, w których będzie to zasadne kwalifikowane będą rozwiązania w zakresie obiegu cyrkularnego (w tym efektywności energetycznej i użycia energii ze źródeł odnawialnych) jak również elementy sprzyjające adaptacji do zmian klimatu (w szczególności zielona i niebieska infrastruktura). </w:t>
      </w:r>
      <w:r>
        <w:br/>
      </w:r>
      <w:r>
        <w:br/>
        <w:t xml:space="preserve">W zakresie infrastruktury usług społecznych dopuszcza się realizację przedsięwzięć z partnerami mającymi swoją siedzibę poza województwem śląskim. Zgodnie z „Europejskim filarem praw socjalnych”, współpraca międzyregionalna może przyczynić się do tworzenia Europy o silniejszym wymiarze społecznym, bardziej sprzyjającej włączeniu społecznemu. Komplementarność i powiązania programu FE SL 2021-2027 z innymi źródłami finansowania np. z Programem INTERREG Europa, może prowadzić do </w:t>
      </w:r>
      <w:r>
        <w:lastRenderedPageBreak/>
        <w:t>wspierania pogłębiania wiedzy z zakresu polityki i przenoszenia doświadczeń na grunt polityk regionalnych, które pomogą ludziom w niekorzystnej sytuacji np. zagrożonych ubóstwem i wykluczeniem społecznym. Ze względu na położenie regionu – pogranicze polsko – czeskie i polsko – słowackie wsparcie uzyskać będą mogły inwestycje, które będą miały na celu rozwój współpracy w zakresie wspólnych przedsięwzięć społecznych, które przyczynią się do wzmocnienia spójności społecznej i obywatelskiej regionu transgranicznego.</w:t>
      </w:r>
      <w:r>
        <w:br/>
      </w:r>
      <w:r>
        <w:br/>
        <w:t>Zaleca się, aby inwestycje w nowe obiekty były realizowane ze szczególnym uwzględnieniem założeń Nowego Europejskiego Bauhausu.</w:t>
      </w:r>
      <w:r>
        <w:br/>
      </w:r>
      <w:r>
        <w:br/>
        <w:t>Preferowane będzie wsparcie istniejącej infrastruktury, natomiast inwestycje w nowe obiekty będą dopuszczalne tylko w wyjątkowych, uzasadnionych okolicznościach.</w:t>
      </w:r>
      <w:r>
        <w:br/>
      </w:r>
      <w:r>
        <w:br/>
        <w:t>Preferencję będą miały projekty na obszarach rewitalizacji, wskazanych w gminnych programach rewitalizacji oraz w OSI Gminy tracące funkcje społeczno – gospodarcze,</w:t>
      </w:r>
      <w:r w:rsidR="002D509E">
        <w:t xml:space="preserve"> </w:t>
      </w:r>
      <w:r>
        <w:t>wskazanym w Strategii Rozwoju Województwa Śląskiego – „Śląskie 2030”.</w:t>
      </w:r>
      <w:r>
        <w:br/>
      </w:r>
      <w:r>
        <w:br/>
        <w:t>Premiowane będą projekty, które mają istotny wkład w realizację jednego z sześciu celów środowiskowych określanych w rozporządzeniu (UE) 2020/852.</w:t>
      </w:r>
      <w:r w:rsidR="002D509E">
        <w:t xml:space="preserve"> </w:t>
      </w:r>
      <w:r>
        <w:br/>
      </w:r>
      <w:r>
        <w:br/>
        <w:t xml:space="preserve">Preferowana będzie realizacja zielonych zamówień publicznych w oparciu o opracowane przez KE wspólne kryteria możliwe do stosowania w państwach członkowskich Unii. </w:t>
      </w:r>
      <w:r>
        <w:br/>
      </w:r>
    </w:p>
    <w:p w14:paraId="02C518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8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8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8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8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8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8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8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02C518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8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8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8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8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8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8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8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8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8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8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8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Przedsiębiorstwa, Służby publiczne</w:t>
      </w:r>
    </w:p>
    <w:p w14:paraId="02C518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8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Centra aktywności lokalnej, Instytucje integracji i pomocy społecznej, Jednostki organizacyjne działające w imieniu jednostek samorządu terytorialnego, Jednostki Samorządu Terytorialnego, Kościoły i związki wyznaniowe, MŚP, Niepubliczne podmioty integracji i pomocy społecznej, Organizacje pozarządowe, Podmioty świadczące usługi publiczne w ramach realizacji obowiązków własnych jednostek samorządu terytorialnego</w:t>
      </w:r>
    </w:p>
    <w:p w14:paraId="02C518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8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mieszkania_treningowe, mieszkania_wspomagane, pozostała_infrastruktura_społeczna_przyczyniająca_się_do_włączenia_społecznego</w:t>
      </w:r>
    </w:p>
    <w:p w14:paraId="02C518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8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Mikro, Średnie</w:t>
      </w:r>
    </w:p>
    <w:p w14:paraId="02C518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8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8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8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8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8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WLWK-PLRO205 - Liczba wspartych obiektów, w których realizowane są usługi społeczne</w:t>
      </w:r>
    </w:p>
    <w:p w14:paraId="02C518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WLWK-RCO065 - Pojemność nowych lub zmodernizowanych lokali socjalnych</w:t>
      </w:r>
    </w:p>
    <w:p w14:paraId="02C518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PROG-FESLO-22 - Pojemność nowych lub zmodernizowanych placówek dziennego pobytu i/lub krótkookresowego pobytu całodobowego (dotyczy opieki wytchnieniowej)</w:t>
      </w:r>
    </w:p>
    <w:p w14:paraId="02C518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8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8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WLWK-RCR067 - Roczna liczba użytkowników nowych lub zmodernizowanych lokali socjalnych</w:t>
      </w:r>
    </w:p>
    <w:p w14:paraId="02C518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PROG-FESLR-12 - Roczna liczba użytkowników nowych lub zmodernizowanych placówek dziennego pobytu i/lub krótkookresowego pobytu całodobowego (dotyczy opieki wytchnieniowej)</w:t>
      </w:r>
    </w:p>
    <w:p w14:paraId="02C518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8B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4" w:name="_Toc235079822"/>
      <w:r>
        <w:rPr>
          <w:rFonts w:ascii="Calibri" w:hAnsi="Calibri" w:cs="Calibri"/>
          <w:sz w:val="32"/>
        </w:rPr>
        <w:t>Działanie FESL.08.05 E-zdrowie</w:t>
      </w:r>
      <w:bookmarkEnd w:id="84"/>
    </w:p>
    <w:p w14:paraId="02C518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8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 - Zapewnianie równego dostępu do opieki zdrowotnej i wspieranie odporności systemów opieki zdrowotnej, w tym podstawowej opieki zdrowotnej, oraz wspieranie przechodzenia od opieki instytucjonalnej do opieki rodzinnej i środowiskowej</w:t>
      </w:r>
    </w:p>
    <w:p w14:paraId="02C518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8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8 039 722,00</w:t>
      </w:r>
    </w:p>
    <w:p w14:paraId="02C518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8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8 039 722,00</w:t>
      </w:r>
    </w:p>
    <w:p w14:paraId="02C518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8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131 - Cyfryzacja w opiece zdrowotnej, 172 - Finansowanie krzyżowe w ramach EFRR (wsparcie dla działań typowych dla EFS+ koniecznych do wdrożenia części operacji objętej EFRR i bezpośrednio z nią związanych)</w:t>
      </w:r>
    </w:p>
    <w:p w14:paraId="02C518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8C4" w14:textId="5821B69E"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wsparcie będzie przeznaczone na wyrównanie dostępu do opieki medycznej i odporności systemu opieki zdrowotnej poprzez podejmowanie interwencji w zakresie cyfryzacji opieki zdrowotnej na wszystkich jej szczeblach, w podmiotach które udzielają świadczeń opieki zdrowotnej finansowanych ze środków publicznych. </w:t>
      </w:r>
      <w:r>
        <w:br/>
        <w:t>Wsparcie będzie realizowało cele Europejskiego Filaru Praw Socjalnych w zakresie poprawy dostępu do ochrony zdrowia.</w:t>
      </w:r>
      <w:r>
        <w:br/>
        <w:t>Interwencja będzie komplementarna z działaniami podejmowanymi w ramach programu regionalnego EFS+ w ramach CS (k i d) w zakresie deinstytucjonalizacji opieki medycznej, promowania zdrowego starzenia się i dostępu do wysokiej jakości usług zdrowotnych czy zintegrowania usług zdrowotnych i społecznych.</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 xml:space="preserve">Warunkiem koniecznym dla podejmowania interwencji w sektorze zdrowia jest ich zgodność z Planem działań zatwierdzonym przez Komitet Sterujący do spraw koordynacji wsparcia w sektorze zdrowia. </w:t>
      </w:r>
      <w:r>
        <w:br/>
      </w:r>
      <w:r>
        <w:br/>
        <w:t>W ramach działania przewiduje się następujący typ projektu:</w:t>
      </w:r>
      <w:r>
        <w:br/>
        <w:t>1.</w:t>
      </w:r>
      <w:r>
        <w:tab/>
        <w:t>Cyfryzacja opieki zdrowotnej.</w:t>
      </w:r>
      <w:r>
        <w:br/>
        <w:t>Wsparcie w ramach działania będzie dotyczyć cyfryzacji opieki zdrowotnej na wszystkich szczeblach jej świadczenia (tj. lecznictwo otwarte i zamknięte) – polegającej na:</w:t>
      </w:r>
      <w:r>
        <w:br/>
        <w:t>- wdrożeniu rozwiązań z zakresu e-zdrowia (np. systemy wspomagające działania związane z ochroną zdrowia, narzędzia i usługi technologii informacyjnych i komunikacyjnych służące pacjentowi, aplikacje mobilne dla ochrony zdrowia),</w:t>
      </w:r>
      <w:r>
        <w:br/>
        <w:t>- wdrożeniu rozwiązań teleinformatycznych, umożliwiających korzystanie z rozwiązań krajowych i regionalnych w zakresie e-zdrowia (np. wsparcie w zakresie integracji z krajowym systemem e-zdrowia, wdrożenie systemów do komunikacji i wymiany informacji, w tym narzędzi, które umożliwiają konsultację procesu diagnostycznego i ułatwiają koordynację świadczeń, wsparcie w zakresie umożliwiania kontaktu z pacjentem przez Internet - telemedycyna, wsparcie systemów zdalnej opieki domowej, wyposażenie podmiotów leczniczych w narzędzia informatyczne umożliwiające integrację z centralną architekturą informatyczną e-zdrowia, wsparcie w zakresie zdalnego dostępu do elektronicznej dokumentacji medycznej/wdrażanie rozwiązań informatycznych, umożliwiających prowadzenie dokumentacji medycznej w postaci elektronicznej oraz przetwarzanie jednostkowych danych medycznych (prowadzenie elektronicznego rekordu pacjenta w systemie szpitalnym/gabinetowym, m.in. dane kliniczne pacjenta, przebieg leczenia, wyniki procedur, obrazy diagnostyczne, wyniki badań laboratoryjnych),</w:t>
      </w:r>
      <w:r>
        <w:br/>
        <w:t xml:space="preserve">- uzupełniająco projekty mogą przewidywać podnoszenie kompetencji cyfrowych pracowników </w:t>
      </w:r>
      <w:r>
        <w:lastRenderedPageBreak/>
        <w:t>podmiotów medycznych, cyfryzację procesów back-office, jak również upowszechnienie usług z zakresu e-zdrowia wśród pacjentów i pracowników podmiotów medycznych,</w:t>
      </w:r>
      <w:r>
        <w:br/>
        <w:t>- wdrożenie rozwiązań wspomagających cyberbezpieczeństwo w placówkach ochrony zdrowia.</w:t>
      </w:r>
      <w:r>
        <w:br/>
      </w:r>
      <w:r>
        <w:br/>
        <w:t>Obligatoryjne warunki wsparcia:</w:t>
      </w:r>
      <w:r>
        <w:br/>
        <w:t>•</w:t>
      </w:r>
      <w:r>
        <w:tab/>
        <w:t>Inwestycje będą realizowane wyłącznie przez podmioty wykonujące działalność leczniczą (publiczne i prywatne) udzielające świadczeń opieki zdrowotnej finansowanych ze środków publicznych,</w:t>
      </w:r>
      <w:r>
        <w:br/>
        <w:t>•</w:t>
      </w:r>
      <w:r>
        <w:tab/>
        <w:t xml:space="preserve">infrastruktura wytworzona w ramach projektu może być wykorzystywana na rzecz udzielania świadczeń opieki zdrowotnej finansowanych ze środków publicznych oraz jeśli to zasadne do działalności pozaleczniczej w ramach działalności statutowej danego podmiotu leczniczego, przy czym gospodarcze wykorzystanie infrastruktury nie może przekroczyć 20% zasobów/wydajności infrastruktury w ujęciu rocznym, </w:t>
      </w:r>
      <w:r>
        <w:br/>
        <w:t>•</w:t>
      </w:r>
      <w:r>
        <w:tab/>
        <w:t>Przedsięwzięcia z zakresu e-zdrowia i telemedycyny, których wartość całkowita jest równa, bądź wyższa niż 2 mln zł mogą zostać objęte wsparciem, o ile wnioskodawca dysponuje ważną pozytywną opinią ministra właściwego do spraw zdrowia w zakresie zgodności projektu z dokumentami strategicznymi i programowymi w obszarze zdrowia cyfrowego oraz jego komplementarności i interoperacyjności z rozwiązaniami w zakresie e-zdrowia obowiązującymi na dzień złożenia wniosku o wydanie opinii,</w:t>
      </w:r>
      <w:r>
        <w:br/>
        <w:t>•</w:t>
      </w:r>
      <w:r>
        <w:tab/>
        <w:t xml:space="preserve">wszystkie planowane do wsparcia projekty o wartości całkowitej powyżej 2 mln zł muszą posiadać stosowną opinię o celowości inwestycji (OCI), o której mowa w Ustawie z dnia 27 sierpnia 2004 r. o świadczeniach opieki zdrowotnej finansowanych ze środków publicznych, </w:t>
      </w:r>
      <w:r>
        <w:br/>
        <w:t>•</w:t>
      </w:r>
      <w:r>
        <w:tab/>
        <w:t>warunkiem realizacji działań będzie uwzględnienie w założeniach projektowych wniosków i celów, określonych w dokumentach strategicznych szczebla krajowego i regionalnego w zakresie ochrony zdrowia, co oznacza, że konieczność realizacji danej inwestycji musi odpowiadać na wyzwania i wnioski – adekwatne dla obszaru e-zdrowia - wskazane w dokumencie - „Zdrowa przyszłość. Ramy strategiczne dla systemu ochrony zdrowia na lata 2021-2027 (m.in. cel 1.1, 1.3, 1.4, 2.3, 2.4, 2.5, 3.2, 3.4), w Strategii Rozwoju Województwa Śląskiego – „Śląskie 2030”, Planie Transformacji dla województwa śląskiego czy w Regionalnej Polityce Zdrowotnej,</w:t>
      </w:r>
      <w:r>
        <w:br/>
        <w:t>•</w:t>
      </w:r>
      <w:r>
        <w:tab/>
        <w:t>projekty finansowane w ramach działania 8.5 nie mogą powielać zakresu, na który dany podmiot otrzymał wsparcie w ramach KPO,</w:t>
      </w:r>
      <w:r>
        <w:br/>
        <w:t>•</w:t>
      </w:r>
      <w:r>
        <w:tab/>
        <w:t>podmioty opieki długoterminowej mogą ubiegać się o wsparcie tylko i wyłącznie, gdy realizacja projektu przyczyni się do</w:t>
      </w:r>
      <w:r w:rsidR="002D509E">
        <w:t xml:space="preserve"> </w:t>
      </w:r>
      <w:r>
        <w:t>stworzenia warunków dla świadczenia usług w</w:t>
      </w:r>
      <w:r w:rsidR="002D509E">
        <w:t xml:space="preserve"> </w:t>
      </w:r>
      <w:r>
        <w:t>formie zdeinstytucjonalizowanej. W przypadku podmiotów prowadzących działania jednocześnie w formie usług instytucjonalizowanych i zdeinstytucjonalizowanych - możliwe jest wsparcie jedynie tej części placówki, która oferuje już formy wsparcia w postaci DI przy jednoczesnym zapewnieniu, że wsparcie nie będzie dotyczyło części instytucjonalnej.</w:t>
      </w:r>
      <w:r>
        <w:br/>
      </w:r>
      <w:r>
        <w:br/>
        <w:t>Premiowane warunki wsparcia:</w:t>
      </w:r>
      <w:r>
        <w:br/>
        <w:t xml:space="preserve"> - premiowane będą projekty, które mają istotny wkład w realizację jednego z sześciu celów środowiskowych określanych w rozporządzeniu (UE) 2020/852.</w:t>
      </w:r>
      <w:r>
        <w:br/>
        <w:t>- preferowana będzie realizacja zielonych zamówień publicznych w oparciu o opracowane przez KE wspólne kryteria możliwe do stosowania w państwach członkowskich Unii,</w:t>
      </w:r>
      <w:r>
        <w:br/>
      </w:r>
      <w:r>
        <w:lastRenderedPageBreak/>
        <w:t>- we wszystkich projektach, w których będzie to zasadne i możliwe kwalifikowane będą rozwiązania w zakresie obiegu cyrkularnego (w tym efektywności energetycznej i użycia energii ze źródeł odnawialnych) jak również elementy sprzyjające adaptacji do zmian klimatu (w szczególności zielona i niebieska infrastruktura),</w:t>
      </w:r>
      <w:r>
        <w:br/>
        <w:t>- premiowane będą projekty wykorzystujące wiedzę i doświadczenie podmiotów z zagranicy, w tym z wiodących ośrodków medycznych i naukowych,</w:t>
      </w:r>
      <w:r>
        <w:br/>
        <w:t>- premiowane będą projekty, gdzie zapewnienie wystarczającego i równego dostępu do opieki zdrowotnej poprzez rozwój infrastruktury, w tym podstawowej opieki zdrowotnej i specjalistycznych usług zdrowotnych stanowić będzie cel przedsięwzięć międzyregionalnych i transgranicznych (w szczególności powiązanych z Programami INTERREG, w tym INTERREG EUROPA),</w:t>
      </w:r>
      <w:r>
        <w:br/>
        <w:t>- premiowane będą projekty komplementarne z Programem UE dla zdrowia” lub programem „Horyzont Europa”.</w:t>
      </w:r>
      <w:r>
        <w:br/>
      </w:r>
    </w:p>
    <w:p w14:paraId="02C518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8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8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8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8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8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8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8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8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8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8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8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8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8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8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8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8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8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02C518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8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w:t>
      </w:r>
    </w:p>
    <w:p w14:paraId="02C518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8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Niepubliczne zakłady opieki zdrowotnej, Publiczne zakłady opieki zdrowotnej</w:t>
      </w:r>
    </w:p>
    <w:p w14:paraId="02C518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8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cyfryzacja, e-zdrowie, system_ochrony_zdrowia, telemedycyna, zdrowie</w:t>
      </w:r>
    </w:p>
    <w:p w14:paraId="02C518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8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8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8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WLWK-RCO014 - Instytucje publiczne otrzymujące wsparcie na opracowywanie usług, produktów i procesów cyfrowych</w:t>
      </w:r>
    </w:p>
    <w:p w14:paraId="02C518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8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8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WLWK-PLRO202 - Liczba wspartych podmiotów leczniczych udzielających świadczeń w zakresie ambulatoryjnej opieki specjalistycznej (AOS)</w:t>
      </w:r>
    </w:p>
    <w:p w14:paraId="02C518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WLWK-PLRO204 - Liczba wspartych podmiotów leczniczych udzielających świadczeń w zakresie innym niż POZ, AOS, psychiatrii na I i II poziomie referencyjnym</w:t>
      </w:r>
    </w:p>
    <w:p w14:paraId="02C518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WLWK-PLRO203 - Liczba wspartych podmiotów leczniczych udzielających świadczeń w zakresie psychiatrii na I i II poziomie referencyjnym </w:t>
      </w:r>
    </w:p>
    <w:p w14:paraId="02C518E6" w14:textId="09DD87D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WLWK-PLRO201 - Liczba wspartych podmiotów wykonujących działalność leczniczą w rodzaju podstawowa opieka zdrowotna</w:t>
      </w:r>
      <w:r w:rsidR="002D509E">
        <w:t xml:space="preserve"> </w:t>
      </w:r>
      <w:r>
        <w:t>(POZ)</w:t>
      </w:r>
    </w:p>
    <w:p w14:paraId="02C518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8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8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WLWK-RCR072 - Roczna liczba użytkowników nowych lub zmodernizowanych elektronicznych usług opieki zdrowotnej</w:t>
      </w:r>
    </w:p>
    <w:p w14:paraId="02C518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WLWK-RCR011 - Użytkownicy nowych i zmodernizowanych publicznych usług, produktów i procesów cyfrowych</w:t>
      </w:r>
    </w:p>
    <w:p w14:paraId="02C518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8EC"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5" w:name="_Toc235079823"/>
      <w:r>
        <w:rPr>
          <w:rFonts w:ascii="Calibri" w:hAnsi="Calibri" w:cs="Calibri"/>
          <w:sz w:val="32"/>
        </w:rPr>
        <w:lastRenderedPageBreak/>
        <w:t>Działanie FESL.08.06 Infrastruktura ochrony zdrowia</w:t>
      </w:r>
      <w:bookmarkEnd w:id="85"/>
    </w:p>
    <w:p w14:paraId="02C518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8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 - Zapewnianie równego dostępu do opieki zdrowotnej i wspieranie odporności systemów opieki zdrowotnej, w tym podstawowej opieki zdrowotnej, oraz wspieranie przechodzenia od opieki instytucjonalnej do opieki rodzinnej i środowiskowej</w:t>
      </w:r>
    </w:p>
    <w:p w14:paraId="02C518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8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26 200 000,00</w:t>
      </w:r>
    </w:p>
    <w:p w14:paraId="02C518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8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26 200 000,00</w:t>
      </w:r>
    </w:p>
    <w:p w14:paraId="02C518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8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128 - Infrastruktura zdrowotna, 129 - Wyposażenie opieki zdrowotnej, 172 - Finansowanie krzyżowe w ramach EFRR (wsparcie dla działań typowych dla EFS+ koniecznych do wdrożenia części operacji objętej EFRR i bezpośrednio z nią związanych)</w:t>
      </w:r>
    </w:p>
    <w:p w14:paraId="02C518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8F6" w14:textId="4010012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 przeznaczone będzie na wyrównanie dostępu do opieki medycznej i odporności systemu opieki zdrowotnej. Wsparte inwestycje przyczynią się do poprawy usług świadczonych w placówkach medycznych w tym podstawowej opieki zdrowotnej. Wsparcie uzyskają również inwestycje przyczyniające się do stworzenia warunków dla bardziej dostępnej opieki długoterminowej zlokalizowanej blisko miejsca zamieszkania, świadczonej w formach zdeinstytucjonalizowanych.</w:t>
      </w:r>
      <w:r>
        <w:br/>
        <w:t>Wsparcie będzie realizowało cele Europejskiego Filaru Praw Socjalnych w zakresie poprawy dostępu do ochrony zdrowia.</w:t>
      </w:r>
      <w:r>
        <w:br/>
        <w:t>Interwencja będzie komplementarna z działaniami podejmowanymi w ramach programu regionalnego EFS+ w ramach CS (k i d) w zakresie deinstytucjonalizacji opieki medycznej, promowania zdrowego starzenia się i dostępu do wysokiej jakości usług zdrowotnych czy zintegrowania usług zdrowotnych i społecznych.</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 xml:space="preserve">Warunkiem koniecznym dla podejmowania interwencji w sektorze zdrowia jest ich zgodność z Planem działań zatwierdzonym przez Komitet Sterujący do spraw koordynacji wsparcia w sektorze zdrowia. </w:t>
      </w:r>
      <w:r>
        <w:br/>
        <w:t xml:space="preserve">Dla zapewnienia spójności z krajowymi ramami strategicznymi reformy psychiatrii, interwencja w ramach obszaru psychiatrii podejmowana będzie po uzgodnieniu z ministrem właściwym do spraw zdrowia. </w:t>
      </w:r>
      <w:r>
        <w:br/>
      </w:r>
      <w:r>
        <w:br/>
        <w:t>W ramach działania przewiduje się następujące typy projektów:</w:t>
      </w:r>
      <w:r>
        <w:br/>
        <w:t xml:space="preserve">1) Wsparcie infrastruktury Centrów Zdrowia Psychicznego, celem upowszechnienia środowiskowego </w:t>
      </w:r>
      <w:r>
        <w:lastRenderedPageBreak/>
        <w:t>modelu psychiatrycznej opieki zdrowotnej, w zakresie budowy lub niezbędnych z punktu widzenia świadczeń zdrowotnych prac remontowo-budowlanych, zakupu niezbędnego sprzętu medycznego i wyposażenia oraz - jako element projektu – rozwiązań w zakresie IT.</w:t>
      </w:r>
      <w:r>
        <w:br/>
        <w:t>2) Wsparcie podmiotów podstawowej opieki zdrowotnej i ambulatoryjnej opieki specjalistycznej, w celu wzmocnienia niższych poziomów opieki zdrowotnej, które przyczynią się do zachowania i poprawy stanu zdrowia społeczeństwa oraz łatwiejszego dostępu do lekarza POZ i AOS w zakresie przeprowadzenia niezbędnych z punktu widzenia świadczeń zdrowotnych, prac remontowo-budowlanych (budowa, rozbudowa, modernizacja), zakupu niezbędnego sprzętu medycznego i wyposażenia oraz - jako element projektu – rozwiązań w zakresie IT.</w:t>
      </w:r>
      <w:r>
        <w:br/>
        <w:t>3) Wsparcie podmiotów świadczących usługi opieki długoterminowej, hospicyjnej i paliatywnej - w formie zdeinstytucjonalizowanej (dziennej, środowiskowej czy domowej)</w:t>
      </w:r>
      <w:r w:rsidR="002D509E">
        <w:t xml:space="preserve"> </w:t>
      </w:r>
      <w:r>
        <w:t>w zakresie budowy, przebudowy, modernizacja obiektów, zakupu niezbędnego sprzętu medycznego i wyposażenia oraz - jako element projektu – rozwiązań w zakresie IT.</w:t>
      </w:r>
      <w:r>
        <w:br/>
      </w:r>
      <w:r>
        <w:br/>
        <w:t>Informacje dot. poszczególnych typów projektów:</w:t>
      </w:r>
      <w:r>
        <w:br/>
      </w:r>
      <w:r>
        <w:br/>
        <w:t>W zakresie wsparcia infrastruktury Centrów Zdrowia Psychicznego, celem upowszechnienia środowiskowego modelu psychiatrycznej opieki zdrowotnej:</w:t>
      </w:r>
      <w:r>
        <w:br/>
        <w:t xml:space="preserve">- inwestycje nie mogą prowadzić do zwiększenia ogólnej liczby łóżek szpitalnych w systemie ochrony zdrowia, w tym w dziedzinie psychiatrii oraz psychiatrii dziecięcej; </w:t>
      </w:r>
      <w:r>
        <w:br/>
        <w:t>- co do zasady projekty mogą dotyczyć inwestycji na pierwszym i drugim poziomie referencyjnym, a trzeci poziom referencyjności może być wspierany jedynie w ramach kompleksowych projektów CZP obejmujących inwestycje we wszystkie poziomy referencyjne.</w:t>
      </w:r>
      <w:r>
        <w:br/>
      </w:r>
      <w:r>
        <w:br/>
        <w:t>W ramach wsparcia podmiotów podstawowej opieki zdrowotnej (POZ) i ambulatoryjnej opieki specjalistycznej (AOS):</w:t>
      </w:r>
      <w:r>
        <w:br/>
        <w:t xml:space="preserve">- preferowane będą projekty, prowadzące do zwiększenia dostępności do usług zdrowotnych w ramach AOS w priorytetowych dla regionu dziedzinach medycyny lub dziedzinach, wynikających z potrzeb epidemiologicznych oraz które wpłyną na wyrównywanie różnic geograficznych w dostępie do opieki zdrowotnej w szczególności na obszarach wiejskich oraz w powiatach, które charakteryzują się niskim wskaźnikiem liczby poradni na 10 tyś mieszkańców, na podstawie map potrzeb zdrowotnych; </w:t>
      </w:r>
      <w:r>
        <w:br/>
        <w:t>- jako element projektu można uwzględnić wdrażanie standardów dostępności dla osób ze szczególnymi potrzebami (obszar architektoniczny, cyfrowy, komunikacyjny, organizacyjny).</w:t>
      </w:r>
      <w:r>
        <w:br/>
      </w:r>
      <w:r>
        <w:br/>
        <w:t xml:space="preserve">Projekty dotyczące podmiotów świadczących usługi opieki długoterminowej, hospicyjnej i paliatywnej - w formie zdeinstytucjonalizowanej (dziennej, środowiskowej czy domowej) powinny być ukierunkowane na stworzenie warunków do bardziej dostępnej opieki długoterminowej, zlokalizowanej blisko miejsca zamieszkania, świadczonej w formach zdeinstytucjonalizowanych. </w:t>
      </w:r>
      <w:r>
        <w:br/>
      </w:r>
      <w:r>
        <w:br/>
        <w:t xml:space="preserve">W ramach 2 i 3 typu projektów dopuszcza się (jako uzupełnienie szerszego zakresu projektu) możliwość zakupu środków transportu w ramach opieki długoterminowej, hospicyjnej i paliatywnej, a także w POZ/AOS jako wsparcie działań dotyczących deinstytucjonalizacji, celem poprawy dostępności do </w:t>
      </w:r>
      <w:r>
        <w:lastRenderedPageBreak/>
        <w:t xml:space="preserve">świadczeń, zwłaszcza w przypadku osób z niepełnosprawnościami, przewlekle chorym, osobom w podeszłym wieku. </w:t>
      </w:r>
      <w:r>
        <w:br/>
      </w:r>
      <w:r>
        <w:br/>
        <w:t xml:space="preserve">We wszystkich typach projektów preferowane będzie wsparcie istniejącej infrastruktury, natomiast inwestycje w nowe obiekty będą dopuszczalne tylko w wyjątkowych, uzasadnionych okolicznościach. </w:t>
      </w:r>
      <w:r>
        <w:br/>
      </w:r>
      <w:r>
        <w:br/>
        <w:t>Dopuszczalne będą wydatki poniesione na podniesienie poziomu cyberbezpieczeństwa, zgodnie ze standardami wyznaczonymi w ramach krajowego systemu cyberbezpieczeństwa, bez powielania funkcji inwestycji prowadzonych z poziomu krajowego.</w:t>
      </w:r>
      <w:r>
        <w:br/>
      </w:r>
      <w:r>
        <w:br/>
        <w:t>Obligatoryjne warunki wsparcia:</w:t>
      </w:r>
      <w:r w:rsidR="002D509E">
        <w:t xml:space="preserve"> </w:t>
      </w:r>
      <w:r>
        <w:br/>
        <w:t>- inwestycje będą realizowane wyłącznie przez podmioty wykonujące działalność leczniczą (publiczne i prywatne) udzielające świadczeń opieki zdrowotnej finansowanych ze środków publicznych,</w:t>
      </w:r>
      <w:r w:rsidR="002D509E">
        <w:t xml:space="preserve"> </w:t>
      </w:r>
      <w:r>
        <w:br/>
        <w:t xml:space="preserve">- infrastruktura wytworzona w ramach projektu może być wykorzystywana na rzecz udzielania świadczeń opieki zdrowotnej finansowanych ze środków publicznych oraz jeśli to zasadne do działalności pozaleczniczej w ramach działalności statutowej danego podmiotu leczniczego, przy czym gospodarcze wykorzystanie infrastruktury nie może przekroczyć 20% zasobów/wydajności infrastruktury w ujęciu rocznym, </w:t>
      </w:r>
      <w:r>
        <w:br/>
        <w:t xml:space="preserve">- wszystkie planowane do wsparcia inwestycje muszą być zgodne z właściwą mapą potrzeb zdrowotnych (w szczególności z mapą potrzeb zdrowotnych w zakresie POZ, AOS, opieki psychiatrycznej i leczenia uzależnień, opieki długoterminowej, opieki paliatywnej, hospicyjnej, sprzętu medycznego), </w:t>
      </w:r>
      <w:r>
        <w:br/>
        <w:t xml:space="preserve"> - wszystkie planowane do wsparcia projekty o wartości całkowitej powyżej 2 mln zł muszą posiadać stosowną opinię o celowości inwestycji (OCI), o której mowa w Ustawie z dnia 27 sierpnia 2004 r. o świadczeniach opieki zdrowotnej finansowanych ze środków publicznych,</w:t>
      </w:r>
      <w:r>
        <w:br/>
        <w:t xml:space="preserve">- projekty nie mogą powielać zakresu, na który dany podmiot otrzymał wsparcie w ramach KPO, </w:t>
      </w:r>
      <w:r>
        <w:br/>
        <w:t>- warunkiem realizacji działań będzie uwzględnienie w założeniach projektowych wniosków i celów, określonych w dokumentach strategicznych szczebla krajowego i regionalnego w zakresie ochrony zdrowia, co oznacza, że konieczność realizacji danej inwestycji musi odpowiadać na wyzwania i wnioski wskazane w dokumencie - „Zdrowa przyszłość. Ramy strategiczne dla systemu ochrony zdrowia na lata 2021-2027 (m.in. cel 1.1, 1.3, 1.4, 2.3, 2.4, 2.5, 3.2, 3.4), w Strategii Rozwoju Województwa Śląskiego – „Śląskie 2030”, Planie Transformacji dla województwa śląskiego czy w Regionalnej Polityce Zdrowotnej,</w:t>
      </w:r>
      <w:r w:rsidR="002D509E">
        <w:t xml:space="preserve"> </w:t>
      </w:r>
      <w:r>
        <w:br/>
        <w:t>- działania w zakresie onkologii powinny być zgodne z Narodową Strategią Onkologiczną,</w:t>
      </w:r>
      <w:r w:rsidR="002D509E">
        <w:t xml:space="preserve"> </w:t>
      </w:r>
      <w:r>
        <w:br/>
        <w:t>- działania w zakresie opieki psychiatrycznej powinny być zgodne z ramami strategicznymi w zakresie deinstytucjonalizacji oraz reformy psychiatrii, projekty infrastrukturalne wymagać będą uzgodnienia z ministrem właściwym do spraw zdrowia,</w:t>
      </w:r>
      <w:r>
        <w:br/>
        <w:t xml:space="preserve">- przewidziane do realizacji elementy projektu dot. e-zdrowia i telemedycyny możliwe do realizacji z uwzględnieniem limitu: do 20% kosztów kwalifikowalnych projektu i do 2 mln zł, </w:t>
      </w:r>
      <w:r>
        <w:br/>
        <w:t>- w projektach zakładających działania infrastrukturalne należy wziąć pod uwagę standardy dostępności placówek medycznych.</w:t>
      </w:r>
      <w:r>
        <w:br/>
      </w:r>
      <w:r>
        <w:br/>
        <w:t xml:space="preserve">Premiowane warunki wsparcia: </w:t>
      </w:r>
      <w:r>
        <w:br/>
        <w:t xml:space="preserve">- premiowane będą projekty, które mają istotny wkład w realizację jednego z sześciu celów </w:t>
      </w:r>
      <w:r>
        <w:lastRenderedPageBreak/>
        <w:t>środowiskowych określanych w rozporządzeniu (UE) 2020/852.</w:t>
      </w:r>
      <w:r>
        <w:br/>
        <w:t xml:space="preserve">- preferowana będzie realizacja zielonych zamówień publicznych w oparciu o opracowane przez KE wspólne kryteria możliwe do stosowania w państwach członkowskich Unii; </w:t>
      </w:r>
      <w:r>
        <w:br/>
        <w:t xml:space="preserve">- we wszystkich projektach, w których będzie to zasadne i możliwe kwalifikowane będą rozwiązania w zakresie obiegu cyrkularnego (w tym efektywności energetycznej i użycia energii ze źródeł odnawialnych) jak również elementy sprzyjające adaptacji do zmian klimatu (w szczególności zielona i niebieska infrastruktura), </w:t>
      </w:r>
      <w:r>
        <w:br/>
        <w:t xml:space="preserve">- premiowane będą projekty wykorzystujące wiedzę i doświadczenie podmiotów z zagranicy, w tym z wiodących ośrodków medycznych i naukowych, </w:t>
      </w:r>
      <w:r>
        <w:br/>
        <w:t>- premiowane będą projekty, gdzie zapewnienie wystarczającego i równego dostępu do opieki zdrowotnej poprzez rozwój infrastruktury, w tym podstawowej opieki zdrowotnej i specjalistycznych usług zdrowotnych stanowić będzie cel przedsięwzięć międzyregionalnych i transgranicznych (w szczególności powiązanych z Programami INTERREG, w tym INTERREG EUROPA),</w:t>
      </w:r>
      <w:r w:rsidR="002D509E">
        <w:t xml:space="preserve"> </w:t>
      </w:r>
      <w:r>
        <w:br/>
        <w:t>- premiowane będą projekty komplementarne z Programem UE dla zdrowia” lub programem „Horyzont Europa”,</w:t>
      </w:r>
      <w:r>
        <w:br/>
        <w:t>- premiowane będą projekty dążące do realizacji założeń Nowego Europejskiego Bauhausu.</w:t>
      </w:r>
      <w:r>
        <w:br/>
      </w:r>
    </w:p>
    <w:p w14:paraId="02C518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8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8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8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8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8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8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8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w:t>
      </w:r>
      <w:r>
        <w:lastRenderedPageBreak/>
        <w:t>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w:t>
      </w:r>
    </w:p>
    <w:p w14:paraId="02C518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9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9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9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9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9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9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9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9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9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9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9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Organizacje społeczne i związki wyznaniowe, Partnerstwa</w:t>
      </w:r>
    </w:p>
    <w:p w14:paraId="02C519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9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instytucje systemu ochrony zdrowia, Jednostki Samorządu Terytorialnego, Kościoły i związki wyznaniowe, Niepubliczne zakłady opieki zdrowotnej, Organizacje pozarządowe, Partnerstwa Publiczno-Prywatne, Publiczne zakłady opieki zdrowotnej</w:t>
      </w:r>
    </w:p>
    <w:p w14:paraId="02C519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9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AOS, centra_zdrowia_psychicznego, infrastruktura_ochrony_zdrowia, POZ, system_ochrony_zdrowia, usługi_zdrowotne, zdrowie, zdrowie_psychiczne</w:t>
      </w:r>
    </w:p>
    <w:p w14:paraId="02C519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9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9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9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9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WLWK-PLRO199 - Liczba projektów, w których sfinansowano koszty racjonalnych usprawnień dla osób z niepełnosprawnościami (EFRR/FST/FS)</w:t>
      </w:r>
    </w:p>
    <w:p w14:paraId="02C519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WLWK-PLRO217 - Liczba wspartych istniejących Centrów Zdrowia Psychicznego</w:t>
      </w:r>
    </w:p>
    <w:p w14:paraId="02C519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WLWK-PLRO216 - Liczba wspartych nowych Centrów Zdrowia Psychicznego</w:t>
      </w:r>
    </w:p>
    <w:p w14:paraId="02C519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WLWK-PLRO202 - Liczba wspartych podmiotów leczniczych udzielających świadczeń w zakresie ambulatoryjnej opieki specjalistycznej (AOS)</w:t>
      </w:r>
    </w:p>
    <w:p w14:paraId="02C519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WLWK-PLRO204 - Liczba wspartych podmiotów leczniczych udzielających świadczeń w zakresie innym niż POZ, AOS, psychiatrii na I i II poziomie referencyjnym</w:t>
      </w:r>
    </w:p>
    <w:p w14:paraId="02C519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WLWK-PLRO203 - Liczba wspartych podmiotów leczniczych udzielających świadczeń w zakresie psychiatrii na I i II poziomie referencyjnym </w:t>
      </w:r>
    </w:p>
    <w:p w14:paraId="02C519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WLWK-PLRO133 - Liczba wspartych podmiotów wykonujących działalność leczniczą </w:t>
      </w:r>
    </w:p>
    <w:p w14:paraId="02C5191A" w14:textId="73BF3FE8"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WLWK-PLRO201 - Liczba wspartych podmiotów wykonujących działalność leczniczą w rodzaju podstawowa opieka zdrowotna</w:t>
      </w:r>
      <w:r w:rsidR="002D509E">
        <w:t xml:space="preserve"> </w:t>
      </w:r>
      <w:r>
        <w:t>(POZ)</w:t>
      </w:r>
    </w:p>
    <w:p w14:paraId="02C519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WLWK-RCO069 - Pojemność nowych lub zmodernizowanych placówek opieki zdrowotnej</w:t>
      </w:r>
    </w:p>
    <w:p w14:paraId="02C519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9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9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19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WLWK-RCR073 - Roczna liczba użytkowników nowych lub zmodernizowanych placówek opieki zdrowotnej</w:t>
      </w:r>
    </w:p>
    <w:p w14:paraId="02C519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921"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6" w:name="_Toc235079824"/>
      <w:r>
        <w:rPr>
          <w:rFonts w:ascii="Calibri" w:hAnsi="Calibri" w:cs="Calibri"/>
          <w:sz w:val="32"/>
        </w:rPr>
        <w:t>Działanie FESL.08.07 Kultura i turystyka szczebla regionalnego</w:t>
      </w:r>
      <w:bookmarkEnd w:id="86"/>
    </w:p>
    <w:p w14:paraId="02C519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9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EFRR.CP4.VI - Wzmacnianie roli kultury i zrównoważonej turystyki w rozwoju gospodarczym, włączeniu społecznym i innowacjach społecznych</w:t>
      </w:r>
    </w:p>
    <w:p w14:paraId="02C519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9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37 543 283,00</w:t>
      </w:r>
    </w:p>
    <w:p w14:paraId="02C519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9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37 543 283,00</w:t>
      </w:r>
    </w:p>
    <w:p w14:paraId="02C519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9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165 - Ochrona, rozwój i promowanie publicznych walorów turystycznych i usług turystycznych, 166 - Ochrona, rozwój i promowanie dziedzictwa kulturowego i usług w dziedzinie kultury</w:t>
      </w:r>
    </w:p>
    <w:p w14:paraId="02C519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92B" w14:textId="498A520A"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Wsparcie zostanie przeznaczone na przedsięwzięcia w obszarze kultury i dziedzictwa kulturowego oraz produkty turystyczne o skali regionalnej, wymienione w Kontrakcie Programowym dla Województwa Śląskiego.</w:t>
      </w:r>
      <w:r>
        <w:br/>
      </w:r>
      <w:r>
        <w:br/>
        <w:t xml:space="preserve">Interwencja będzie komplementarna z działaniami podejmowanymi w programie regionalnym EFS+ w ramach CS (l) w zakresie promowania integracji społecznej osób zagrożonych ubóstwem lub wykluczeniem społecznym oraz dostępu do wysokiej jakości usług, a także pośrednio z CS (h) w zakresie wsparcia rozwoju ekonomii społecznej.Dopuszcza się realizację projektów uzupełniających, podejmowanych równolegle z innego funduszu lub do już zrealizowanych ze środków krajowych lub własnych wnioskodawcy. </w:t>
      </w:r>
      <w:r>
        <w:br/>
      </w:r>
      <w:r>
        <w:br/>
        <w:t xml:space="preserve">Realizowane przedsięwzięcia w widoczny sposób przyczynią się do aktywizacji społecznej, zachowania tożsamości regionalnej i wzmocnienia regionalnego sektora kultury, zwiększania atrakcyjności oferty kulturalnej i turystycznej oraz opracowania rozwiązań modelowych przy jednoczesnym budowaniu nowego wizerunku województwa śląskiego, jako nowoczesnego regionu europejskiego. </w:t>
      </w:r>
      <w:r>
        <w:br/>
      </w:r>
      <w:r>
        <w:br/>
        <w:t xml:space="preserve">Działania mają przyczynić się w szczególności do zwiększenia udziału mieszkańców w kulturze, zwiększenia integracji społecznej, rozwoju potencjału społecznego na rzecz budowania gospodarki opartej na wiedzy oraz wzmocnienia aktywności tych placówek na rzecz wspierania branż kreatywnych Infrastruktura o charakterze publicznym i otwartym ma na celu także poprawę usług społecznych. </w:t>
      </w:r>
      <w:r>
        <w:br/>
      </w:r>
      <w:r>
        <w:br/>
        <w:t>• W zakresie dziedzictwa kulturowego wsparciem objęte zostaną obiekty o znaczeniu regionalnym, które przyczynią się do tworzenia, adaptacji, dostosowania budynków i przestrzeni (otoczenia) do realizacji oferty kulturalno – edukacyjnej.</w:t>
      </w:r>
      <w:r>
        <w:br/>
        <w:t>• Rozwój infrastruktury kultury, w tym zabytkowej, renowację i zabezpieczenie obiektów zabytkowych, wyposażenie obiektów, w celu tworzenia warunków sprzyjających otwartemu, nieograniczonemu, integracyjnemu i świadomemu uczestnictwu w kulturze.</w:t>
      </w:r>
      <w:r>
        <w:br/>
        <w:t>• Instytucje kultury o znaczeniu regionalnym oraz instytucje paramuzealne o znaczeniu regionalnym wraz z zagospodarowaniem przyległego otoczenia, w celu nadania lub rozwinięcia w szczególności ich funkcji kulturowych, ale też funkcji ekonomicznych, społecznych, środowiskowych, edukacyjnych czy przestrzennych, w tym działania na rzecz poprawy ich efektywności.</w:t>
      </w:r>
      <w:r>
        <w:br/>
        <w:t>• Wsparcie na obiekty turystyczne o znaczeniu regionalnym, odwołujące się do walorów historycznych, kulturowych i przyrodniczych województwa śląskiego oraz przynależne do istniejących szlaków turystycznych. Działania te przyczynią się do zwiększenia atrakcyjności turystycznej oraz rozwoju szeroko rozumianego sektora przemysłów czasu wolnego w regionie, w tym tworzenia nowych miejsc pracy w tych sektorach.</w:t>
      </w:r>
      <w:r w:rsidR="002D509E">
        <w:t xml:space="preserve"> </w:t>
      </w:r>
      <w:r>
        <w:br/>
      </w:r>
      <w:r>
        <w:br/>
        <w:t>Elementem inwestycji będzie dążenie do osiągnięcia neutralności klimatycznej projektowanej infrastruktury, przy czym w przypadku zabytków z uwzględnieniem wymogów konserwatorskich.</w:t>
      </w:r>
      <w:r>
        <w:br/>
      </w:r>
      <w:r>
        <w:br/>
      </w:r>
      <w:r>
        <w:lastRenderedPageBreak/>
        <w:t>Przedsięwzięcia będą respektowanie zasady zrównoważonego oddziaływania na środowisko, potrzebę rozwoju cyfrowego, zasadę dostępności dla osób ze specjalnymi potrzebami, stabilność i efektywność finansową oraz odporność na kryzys. Zwiększony zostanie nacisk na wykorzystanie zielonych technologii.</w:t>
      </w:r>
      <w:r>
        <w:br/>
        <w:t>A)</w:t>
      </w:r>
      <w:r>
        <w:tab/>
        <w:t>Obligatoryjne warunki wsparcia:</w:t>
      </w:r>
      <w:r w:rsidR="002D509E">
        <w:t xml:space="preserve"> </w:t>
      </w:r>
      <w:r>
        <w:br/>
        <w:t>•</w:t>
      </w:r>
      <w:r>
        <w:tab/>
        <w:t>Interwencje, które mają wpływ na dziedzictwo kulturowe, będą dążyć do wykorzystania zapisów dokumentu „Europejskie Zasady Jakości dla finansowanych przez UE interwencji o potencjalnym wpływie na dziedzictwo kulturowe”(ICOMOS) oraz będą zgodne z Nowym europejskim programem na rzecz kultury, Europejskimi ramami działania w zakresie dziedzictwa kulturowego, Konkluzjami Rady w sprawie planu prac w dziedzinie kultury, Sprawozdaniem Specjalnym Unijne inwestycje w obiekty kultury</w:t>
      </w:r>
      <w:r w:rsidR="002D509E">
        <w:t xml:space="preserve"> </w:t>
      </w:r>
      <w:r>
        <w:t>oraz Sprawozdaniem Specjalnym Unijne wsparcie na rzecz turystyki.</w:t>
      </w:r>
      <w:r>
        <w:br/>
        <w:t>•</w:t>
      </w:r>
      <w:r>
        <w:tab/>
        <w:t>Wsparte obiekty powinny być wpisane do rejestru zabytków prowadzonego przez Śląskiego Wojewódzkiego Konserwatora Zabytków, bądź powinny to być obiekty o dużym potencjale sieciowania tj. rozwoju istniejących szlaków kultury i dziedzictwa kulturowego, jak również tereny i obiekty unikatowe, o szczególnym znaczeniu dla regionu.</w:t>
      </w:r>
      <w:r>
        <w:br/>
        <w:t>•</w:t>
      </w:r>
      <w:r>
        <w:tab/>
        <w:t>Renowacja, konserwacja, rewaloryzacja i restauracja obiektów zabytkowych (w tym pomników) nie może być pojedynczą interwencją, tylko musi stanowić część większego przedsięwzięcia, które wiąże rozwój kultury z rozwojem gospodarczym, włączeniem społecznym i innowacjami społecznymi w skali regionu lub lokalnej.</w:t>
      </w:r>
      <w:r>
        <w:br/>
        <w:t>•</w:t>
      </w:r>
      <w:r>
        <w:tab/>
        <w:t xml:space="preserve">Inwestycje w kulturę i turystykę będą musiały uwzględniać współpracę z otoczeniem (z lokalną społecznością, przedsiębiorcami, NGOs oraz przedsiębiorstwami społecznymi), a także analizę oddziaływania na bezpośrednie otoczenie i tworzenia miejsc pracy oraz trwałości finansowej projektów (w tym m.in. analizę popytu, dywersyfikację przychodów). </w:t>
      </w:r>
      <w:r>
        <w:br/>
        <w:t>•</w:t>
      </w:r>
      <w:r>
        <w:tab/>
        <w:t>Inwestycje w elementy infrastruktury drogowej (w tym parkingi) nie będą wspierane, chyba że stanowią integralną część większego projektu, nie są dominującą częścią projektu, a ich koszt nie przekracza 15% kosztów kwalifikowanych projektu. Projekty te nie mogą wiązać się z budową nowych dróg czy parkingów lub – w przypadku istniejących – zwiększaniem ich przepustowości, ani też w żaden inny sposób przyczyniać się do zwiększenia natężenia ruchu samochodowego.</w:t>
      </w:r>
      <w:r>
        <w:br/>
        <w:t>•</w:t>
      </w:r>
      <w:r>
        <w:tab/>
        <w:t>Kwalifikowane będą rozwiązania w zakresie obiegu cyrkularnego (w tym efektywności energetycznej i użycia energii ze źródeł odnawialnych) jak również elementy sprzyjające adaptacji do zmian klimatu (w szczególności zielona i niebieska infrastruktura) pod warunkiem ich zasadności oraz przy założeniu że nie jest to jedyny i dominujący element projektu,</w:t>
      </w:r>
      <w:r>
        <w:br/>
        <w:t>•</w:t>
      </w:r>
      <w:r>
        <w:tab/>
        <w:t xml:space="preserve">Kwalifikowalne będzie wyposażenie służące do ekspozycji. </w:t>
      </w:r>
      <w:r>
        <w:br/>
        <w:t>•</w:t>
      </w:r>
      <w:r>
        <w:tab/>
        <w:t xml:space="preserve">Zakup eksponatów oraz ich konserwacja stanowią koszt niekwalifikowalny. </w:t>
      </w:r>
      <w:r>
        <w:br/>
        <w:t>•</w:t>
      </w:r>
      <w:r>
        <w:tab/>
        <w:t>Niekwalifikowlane będą działania polegające na prowadzeniu zajęć kulturalnych i/lub edukacyjnych.</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 xml:space="preserve"> </w:t>
      </w:r>
      <w:r>
        <w:br/>
        <w:t>B) Preferowane warunki wsparcia:</w:t>
      </w:r>
      <w:r>
        <w:br/>
        <w:t>- realizowanie założeń Nowego Europejskiego Bauhausu;</w:t>
      </w:r>
      <w:r>
        <w:br/>
      </w:r>
      <w:r>
        <w:lastRenderedPageBreak/>
        <w:t>- realizacja jednego z sześciu celów środowiskowych określanych w rozporządzeniu (UE) 2020/852;</w:t>
      </w:r>
      <w:r>
        <w:br/>
        <w:t>- realizacja zielonych zamówień publicznych w oparciu o opracowane przez KE wspólne kryteria możliwe do stosowania w państwach członkowskich Unii,</w:t>
      </w:r>
      <w:r>
        <w:br/>
        <w:t xml:space="preserve"> - wsparcie istniejącej infrastrukturę, natomiast inwestycje w nowe obiekty będą dopuszczalne tylko w wyjątkowych, uzasadnionych okolicznościach. Budowa nowego obiektu jest warunkowa i powinna być poparta analizą wnioskodawcy w zakresie dostępnej, istniejącej infrastruktury, jej stanu technicznego, możliwości zapewnienia jej dostępności oraz analizy kosztowej potwierdzającej brak zasadności technicznej i/lub kosztowej realizacji projektu na istniejącej infrastrukturze.</w:t>
      </w:r>
      <w:r>
        <w:br/>
        <w:t>- wzmacnianie działań międzyregionalnych, transgranicznych i transnarodowych z udziałem beneficjentów w co najmniej jednym innym państwie członkowskim lub poza Unią, w stosownych przypadkach.</w:t>
      </w:r>
    </w:p>
    <w:p w14:paraId="02C519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9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9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9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9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9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9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9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w:t>
      </w:r>
    </w:p>
    <w:p w14:paraId="02C519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Uproszczone metody rozliczania</w:t>
      </w:r>
    </w:p>
    <w:p w14:paraId="02C519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9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9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9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9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9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9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9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9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9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9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02C519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9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kultury, Jednostki organizacyjne działające w imieniu jednostek samorządu terytorialnego, Jednostki Samorządu Terytorialnego, Organizacje pozarządowe</w:t>
      </w:r>
    </w:p>
    <w:p w14:paraId="02C519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9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kultura, turystyka</w:t>
      </w:r>
    </w:p>
    <w:p w14:paraId="02C519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9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9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9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9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WLWK-RCO077 - Liczba obiektów kulturalnych i turystycznych objętych wsparciem</w:t>
      </w:r>
    </w:p>
    <w:p w14:paraId="02C519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9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9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WLWK-RCR077 - Liczba osób odwiedzających obiekty kulturalne i turystyczne objęte wsparciem</w:t>
      </w:r>
    </w:p>
    <w:p w14:paraId="02C519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9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94E"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7" w:name="_Toc235079825"/>
      <w:r>
        <w:rPr>
          <w:rFonts w:ascii="Calibri" w:hAnsi="Calibri" w:cs="Calibri"/>
          <w:sz w:val="32"/>
        </w:rPr>
        <w:lastRenderedPageBreak/>
        <w:t>Działanie FESL.08.08 Infrastruktura szkolnictwa zawodowego</w:t>
      </w:r>
      <w:bookmarkEnd w:id="87"/>
    </w:p>
    <w:p w14:paraId="02C519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9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02C519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9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19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9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19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9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124 - Infrastruktura na potrzeby kształcenia i szkolenia zawodowego oraz edukacji dorosłych</w:t>
      </w:r>
    </w:p>
    <w:p w14:paraId="02C519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958" w14:textId="03A4CBCE"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Przebudowa, budowa, remont sal do praktycznej nauki zawodu wraz z zapewnieniem wyposażenia oraz dostosowaniem infrastruktury do kształcenia włączającego uczniów. </w:t>
      </w:r>
      <w:r>
        <w:br/>
        <w:t>W działaniu poprzez budowę rozumie się, oprócz budowy, także rozbudowę, odbudowę, nadbudowę.</w:t>
      </w:r>
      <w:r w:rsidR="002D509E">
        <w:t xml:space="preserve"> </w:t>
      </w:r>
      <w:r>
        <w:br/>
        <w:t xml:space="preserve">Celem działania jest zwiększenie kompetencji uczniów szkół kształcących w zawodach, poprzez inwestycje w infrastrukturę (stworzenie warunków zbliżonych do rzeczywistego środowiska pracy zawodowej pod kątem wyposażenia, doposażenia warsztatów, pracowni, itp.). </w:t>
      </w:r>
      <w:r>
        <w:br/>
        <w:t>W ramach działania wsparcie skierowane jest do szkół ponadpodstawowych (szkół branżowych I stopnia, szkół branżowych II stopnia, techników) z wyłączeniem szkół dla osób dorosłych. Dopuszcza się wsparcie placówek kształcenia ustawicznego, w których prowadzona jest praktyczna nauka zawodu dla uczniów ww. szkół ponadpodstawowych. Interwencja w zakresie wsparcia szkolnictwa zawodowego będzie bazować na wykorzystaniu obecnej infrastruktury. Budowa nowych obiektów</w:t>
      </w:r>
      <w:r w:rsidR="002D509E">
        <w:t xml:space="preserve"> </w:t>
      </w:r>
      <w:r>
        <w:t xml:space="preserve">kubaturowych będzie możliwa do realizacji, jedynie w przypadku udokumentowanego braku możliwości zaadaptowania istniejących obiektów. </w:t>
      </w:r>
      <w:r>
        <w:br/>
        <w:t xml:space="preserve">Diagnozę potrzeb jednostek samorządu terytorialnego dotyczących szkolnictwa zawodowego zawiera Regionalna Polityka Rozwoju Edukacji Województwa Śląskiego. Ponadto w ramach szkolnictwa zawodowego należy uwzględnić konieczność dopasowania kierunku kształcenia do wymagań i potrzeb rynku pracy (Barometr zawodów) lub specjalizacji regionalnych (Program Rozwoju Technologii Województwa Śląskiego na lata 2019-2030) lub inteligentnych specjalizacji (Regionalna Strategia Innowacji Województwa Śląskiego 2030- Inteligentne Śląskie). </w:t>
      </w:r>
      <w:r>
        <w:br/>
        <w:t xml:space="preserve">W ramach działania Wnioskodawca zobowiązany jest do dostosowania infrastruktury oraz zakupu specjalistycznego sprzętu zwiększających poziom włączenia społecznego poprzez uwzględnienie w ramach projektu elementów edukacji włączającej. Ponadto Wnioskodawca zobowiązany jest zastosować w zakresie dostępności przedmiotu projektu wymagania wynikające z poziomu podstawowego Modelu </w:t>
      </w:r>
      <w:r>
        <w:lastRenderedPageBreak/>
        <w:t>Dostępnej Szkoły.</w:t>
      </w:r>
      <w:r>
        <w:br/>
        <w:t>Jako uzupełnienie do sali/sal do praktycznej nauki zawodu, w przypadku gdy dany zawód wymaga pomieszczeń do przechowywania urządzeń przenośnych wykorzystywanych podczas praktyk, szatni, sanitariatów, pokojów socjalnych dla uczniów, to ww. pomieszczenia będą traktowane jako niezbędne do zrealizowania zaplanowanych działań.</w:t>
      </w:r>
      <w:r>
        <w:br/>
        <w:t>Wsparcie w niniejszym działaniu jest komplementarne ze środkami EFS+. Ponadto działania międzyregionalne, transgraniczne i transnarodowe wzmocnią potencjał inwestycji.</w:t>
      </w:r>
      <w:r>
        <w:br/>
        <w:t>Obligatoryjne warunki wsparcia:</w:t>
      </w:r>
      <w:r>
        <w:br/>
        <w:t xml:space="preserve">Działanie będzie realizowane z uwzględnieniem zasad horyzontalnych (zgodnie z art. 9 Rozporządzenia Parlamentu Europejskiego i Rady (UE) nr 2021/1060 z dnia 24 czerwca 2021 r.), a obowiązek ich stosowania wynika z Umowy Partnerstwa, programu oraz wytycznych. </w:t>
      </w:r>
      <w:r>
        <w:br/>
        <w:t xml:space="preserve">Preferowane warunki wsparcia: </w:t>
      </w:r>
      <w:r>
        <w:br/>
        <w:t>Premiowane będą projekty, które mają istotny wkład w realizację jednego z sześciu celów środowiskowych określanych w rozporządzeniu (UE) 2020/852.</w:t>
      </w:r>
      <w:r>
        <w:br/>
        <w:t>W stosownych przypadkach wsparcie realizowane będzie ze szczególnym uwzględnieniem założeń Nowego Europejskiego Bauhausu.</w:t>
      </w:r>
      <w:r>
        <w:br/>
        <w:t>Preferowana będzie realizacja zielonych zamówień publicznych w oparciu o opracowane przez KE wspólne kryteria możliwe do stosowania w państwach członkowskich Unii.</w:t>
      </w:r>
      <w:r w:rsidR="002D509E">
        <w:t xml:space="preserve"> </w:t>
      </w:r>
    </w:p>
    <w:p w14:paraId="02C519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9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9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9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9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9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9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9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w:t>
      </w:r>
      <w:r>
        <w:lastRenderedPageBreak/>
        <w:t>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w:t>
      </w:r>
    </w:p>
    <w:p w14:paraId="02C519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9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9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9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9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9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9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9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9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9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9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9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wspierające biznes, Organizacje społeczne i związki wyznaniowe, Przedsiębiorstwa realizujące cele publiczne</w:t>
      </w:r>
    </w:p>
    <w:p w14:paraId="02C519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9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Instytucje otoczenia biznesu, Jednostki Samorządu Terytorialnego, Kościoły i związki wyznaniowe, Organizacje pozarządowe, Podmioty zarządzające terenami inwestycyjnymi</w:t>
      </w:r>
    </w:p>
    <w:p w14:paraId="02C519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9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infrastruktura, infrastruktura_kształcenia_zawodowego, kształcenie, kształcenie_zawodowe, szkoła, szkoła_zawodowa</w:t>
      </w:r>
    </w:p>
    <w:p w14:paraId="02C519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9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19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9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9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9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WLWK-PLRO191 - Liczba doposażonych szkół</w:t>
      </w:r>
    </w:p>
    <w:p w14:paraId="02C519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9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9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02C519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WLWK-PLRO126 - Liczba wybudowanych szkół</w:t>
      </w:r>
    </w:p>
    <w:p w14:paraId="02C519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02C519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9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9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02C519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1980"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88" w:name="_Toc235079826"/>
      <w:r>
        <w:rPr>
          <w:rFonts w:ascii="Calibri" w:hAnsi="Calibri" w:cs="Calibri"/>
          <w:i w:val="0"/>
          <w:sz w:val="32"/>
        </w:rPr>
        <w:t>Priorytet FESL.09 Fundusze Europejskie na rozwój terytorialny</w:t>
      </w:r>
      <w:bookmarkEnd w:id="88"/>
    </w:p>
    <w:p w14:paraId="02C519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19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19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19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02C519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19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CP5 - Europa bliższa obywatelom dzięki wspieraniu zrównoważonego i zintegrowanego rozwoju wszystkich rodzajów terytoriów oraz inicjatyw lokalnych</w:t>
      </w:r>
    </w:p>
    <w:p w14:paraId="02C519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19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19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19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215 656 459,00</w:t>
      </w:r>
    </w:p>
    <w:p w14:paraId="02C519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19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198 460 346,00</w:t>
      </w:r>
    </w:p>
    <w:p w14:paraId="02C519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19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9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19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100</w:t>
      </w:r>
    </w:p>
    <w:p w14:paraId="02C519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19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9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99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9" w:name="_Toc235079827"/>
      <w:r>
        <w:rPr>
          <w:rFonts w:ascii="Calibri" w:hAnsi="Calibri" w:cs="Calibri"/>
          <w:sz w:val="32"/>
        </w:rPr>
        <w:t>Działanie FESL.09.01 Zwiększenie roli kultury i turystyki w rozwoju subregionalnym - ZIT</w:t>
      </w:r>
      <w:bookmarkEnd w:id="89"/>
    </w:p>
    <w:p w14:paraId="02C519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9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 - Wspieranie zintegrowanego i sprzyjającego włączeniu społecznemu rozwoju społecznego, gospodarczego i środowiskowego, kultury, dziedzictwa naturalnego, zrównoważonej turystyki i bezpieczeństwa na obszarach miejskich</w:t>
      </w:r>
    </w:p>
    <w:p w14:paraId="02C519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9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72 055 195,00</w:t>
      </w:r>
    </w:p>
    <w:p w14:paraId="02C519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9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72 055 195,00</w:t>
      </w:r>
    </w:p>
    <w:p w14:paraId="02C519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9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165 - Ochrona, rozwój i promowanie publicznych walorów turystycznych i usług turystycznych, 166 - Ochrona, rozwój i promowanie dziedzictwa kulturowego i usług w dziedzinie kultury</w:t>
      </w:r>
    </w:p>
    <w:p w14:paraId="02C519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99E" w14:textId="1F7C841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Wspierane będzie wykorzystanie endogenicznych potencjałów przyrodniczych, krajobrazowych i kulturowych na rzecz rozwoju ponadlokalnych i subregionalnych produktów kulturowych i turystycznych oraz marek o znaczeniu ponadlokalnym. Realizowane działania będą promowały idee zrównoważonej turystyki i kultury ze szczególnym uwzględnieniem ochrony zasobów przyrody, odporności na skutki zmian klimatycznych, rozwiązania niskoemisyjne, zasobooszczędne i cyfrowe, przy jednoczesnym zapewnieniu równości, włączenia społecznego i niedyskryminacji.</w:t>
      </w:r>
      <w:r>
        <w:br/>
        <w:t>Typy projektów:</w:t>
      </w:r>
      <w:r>
        <w:br/>
        <w:t>1.</w:t>
      </w:r>
      <w:r>
        <w:tab/>
        <w:t>Rozwój infrastruktury kultury</w:t>
      </w:r>
      <w:r>
        <w:br/>
        <w:t>2.</w:t>
      </w:r>
      <w:r>
        <w:tab/>
        <w:t>Infrastruktura turystyczna i dziedzictwa kulturowego</w:t>
      </w:r>
      <w:r>
        <w:br/>
        <w:t>3.</w:t>
      </w:r>
      <w:r w:rsidR="002D509E">
        <w:t xml:space="preserve"> </w:t>
      </w:r>
      <w:r>
        <w:t>Sieci szlaków turystycznych</w:t>
      </w:r>
      <w:r>
        <w:br/>
      </w:r>
      <w:r>
        <w:br/>
        <w:t>Nie dopuszcza się łączenia typów projektu w ramach jednego projektu.</w:t>
      </w:r>
      <w:r>
        <w:br/>
      </w:r>
      <w:r>
        <w:br/>
        <w:t>Przedmiot wsparcia w szczególności</w:t>
      </w:r>
      <w:r>
        <w:br/>
      </w:r>
      <w:r>
        <w:br/>
      </w:r>
      <w:r>
        <w:lastRenderedPageBreak/>
        <w:t xml:space="preserve">Typ 1 </w:t>
      </w:r>
      <w:r>
        <w:br/>
        <w:t>Wzmocnienie prorozwojowej i wspólnototwórczej roli kultury poprzez przekształcenie istniejących instytucji kultury w wielofunkcyjne centra ze zróżnicowaną ofertą m.in. kulturalną, animacyjną, edukacyjną dla wszystkich grup mieszkańców oraz prowadzące działania na rzecz rozwoju kapitału społecznego na poziomie lokalnym.</w:t>
      </w:r>
      <w:r>
        <w:br/>
      </w:r>
      <w:r>
        <w:br/>
        <w:t xml:space="preserve">Wielofunkcyjne centrum kultury - obiekt lub zespół obiektów instytucji kultury lub samorządu terytorialnego, na terenie których w wyniku realizacji projektu, oprócz funkcji kulturalnej, realizowane będą co najmniej 2 funkcje m. in.: </w:t>
      </w:r>
      <w:r>
        <w:br/>
        <w:t>a.</w:t>
      </w:r>
      <w:r>
        <w:tab/>
        <w:t xml:space="preserve">Funkcja turystyczna – wszelkie działania wpływające na obsługę ruchu turystycznego, w tym informacja i promocja turystyki </w:t>
      </w:r>
      <w:r>
        <w:br/>
        <w:t>b.</w:t>
      </w:r>
      <w:r>
        <w:tab/>
        <w:t>Funkcja społeczna – wszelkie działania mające na celu aktywizację społeczną, w tym projekty kierowane do osób lub rodzin zagrożonych wykluczeniem społecznym</w:t>
      </w:r>
      <w:r w:rsidR="002D509E">
        <w:t xml:space="preserve"> </w:t>
      </w:r>
      <w:r>
        <w:br/>
        <w:t>c.</w:t>
      </w:r>
      <w:r>
        <w:tab/>
        <w:t>Funkcja gospodarcza – wszelkie działania generujące przychody z tytułu prowadzenia działalności gospodarczej</w:t>
      </w:r>
      <w:r w:rsidR="002D509E">
        <w:t xml:space="preserve"> </w:t>
      </w:r>
      <w:r>
        <w:br/>
        <w:t>d.</w:t>
      </w:r>
      <w:r>
        <w:tab/>
        <w:t>Funkcja edukacyjna – wszelkie działania służące dostarczaniu wiedzy i nabywaniu nowych umiejętności</w:t>
      </w:r>
      <w:r>
        <w:br/>
      </w:r>
      <w:r>
        <w:br/>
        <w:t>Typ 2</w:t>
      </w:r>
      <w:r>
        <w:br/>
        <w:t>Tworzenie i rozwój zrównoważonej infrastruktury turystycznej i dziedzictwa kulturowego. Oba rodzaje infrastruktury będą mogły być realizowane samodzielnie i niezależnie od siebie.</w:t>
      </w:r>
      <w:r>
        <w:br/>
      </w:r>
      <w:r>
        <w:br/>
        <w:t>Obiekty przynależne do funkcjonujących w regionie szlaków dziedzictwa kulturowego, a także przedsięwzięcia ponadlokalne na rzecz tworzenia nowych oraz rozwoju istniejących szlaków, w tym uwzględniające rozbudowę systemów e-informacji kulturalnej, spójnego oznakowania obszarów atrakcyjnych kulturowo wraz z promocją szlaków dziedzictwa kulturowego, w tym z wykorzystaniem technologii cyfrowych.</w:t>
      </w:r>
      <w:r>
        <w:br/>
      </w:r>
      <w:r>
        <w:br/>
        <w:t>W ramach infrastruktury turystycznej przewidziano także realizację przedsięwzięcia zidentyfikowanego w Kontrakcie Programowym dla Województwa Śląskiego (tryb niekonkurencyjny).</w:t>
      </w:r>
      <w:r>
        <w:br/>
      </w:r>
      <w:r>
        <w:br/>
      </w:r>
      <w:r>
        <w:br/>
        <w:t>Typ 3</w:t>
      </w:r>
      <w:r>
        <w:br/>
      </w:r>
      <w:r>
        <w:br/>
        <w:t xml:space="preserve">Sieciowanie infrastruktury turystycznej na rzecz utworzenia lub rozszerzenia szlaków turystycznych różnych rodzajów (m.in.: pieszych, rowerowych, konnych, narciarskich, wodnych), w tym infrastrukturę poprawiającą dostępność obiektów i atrakcji turystycznych. </w:t>
      </w:r>
      <w:r>
        <w:br/>
      </w:r>
      <w:r>
        <w:br/>
        <w:t>Atrakcja turystyczna jest miejscem zainteresowania odwiedzanym przez turystów, zwykle ze względu na jego nieodłączną lub eksponowaną wartość przyrodniczą lub kulturową, znaczenie historyczne, piękno przyrodnicze lub architektoniczne, oferujące wypoczynek i rozrywkę.</w:t>
      </w:r>
      <w:r>
        <w:br/>
      </w:r>
      <w:r>
        <w:br/>
      </w:r>
      <w:r>
        <w:lastRenderedPageBreak/>
        <w:t>Produktem turystycznym jest ogół dostępnych dóbr i usług materialnych i niematerialnych, jakie turysta może nabyć/doświadczyć na danym obszarze. Poprzez dany obszar należy rozumieć obszar jednej gminy lub więcej niż jednej gminy, w zależności od liczby gmin, na terenie których przewidziana jest realizacja projektu.</w:t>
      </w:r>
      <w:r>
        <w:br/>
      </w:r>
      <w:r>
        <w:br/>
        <w:t>Marka jest kategorią marketingową przyczyniającą się do tworzenia dobrego wizerunku produktu, a co za tym idzie - do wzrostu jego popularności. Marka wywołuje skojarzenia i odczucia, które wpływają na opinię publiczną, zachowania społeczne i postawy konsumenckie. Marka ma także silne znaczenie emocjonalne. W świadomości odbiorców istnieje jako symbol doskonałości, perfekcji i lojalności. Silna i rozpoznawalna marka jest wyznacznikiem reputacji i autorytetu.</w:t>
      </w:r>
      <w:r>
        <w:br/>
      </w:r>
      <w:r>
        <w:br/>
        <w:t xml:space="preserve">Sieciowanie - rozumie się jako tworzenie nowych sieci szlaków, łączenie istniejących sieci szlaków turystycznych różnego rodzaju o charakterze liniowym (np. pieszych, rowerowych, konnych wodnych, narciarskich) o wspólnym i jednolitym oznaczeniu oraz charakterystyce identyfikującej daną sieć. </w:t>
      </w:r>
      <w:r>
        <w:br/>
      </w:r>
      <w:r>
        <w:br/>
        <w:t>Szlak turystyczny to wytyczona w terenie trasa służąca do odbywania wycieczek, oznakowana jednolitymi znakami (symbolami) i wyposażona w urządzenia informacyjne, które zapewniają bezpieczne i spokojne jej przebycie turyście o dowolnym poziomie umiejętności i doświadczenia, o każdej porze roku i w każdych warunkach pogodowych, o ile szczegółowe wymagania nie stanowią inaczej (okresowe zamykanie w przypadku niekorzystnych warunków pogodowych lub ze względów przyrodniczych na terenach chronionych).</w:t>
      </w:r>
      <w:r w:rsidR="002D509E">
        <w:t xml:space="preserve"> </w:t>
      </w:r>
      <w:r>
        <w:t>Rozróżnia się następujące rodzaje szlaków turystycznych: - piesze górskie i nizinne oraz ścieżki spacerowe, przyrodnicze i dydaktyczne, - narciarskie - rowerowe, - kajakowe, - jeździeckie.</w:t>
      </w:r>
      <w:r>
        <w:br/>
      </w:r>
      <w:r>
        <w:br/>
        <w:t>A)</w:t>
      </w:r>
      <w:r>
        <w:tab/>
        <w:t>Obligatoryjne warunki wsparcia:</w:t>
      </w:r>
      <w:r w:rsidR="002D509E">
        <w:t xml:space="preserve"> </w:t>
      </w:r>
      <w:r>
        <w:br/>
      </w:r>
      <w:r>
        <w:br/>
        <w:t>•</w:t>
      </w:r>
      <w:r>
        <w:tab/>
        <w:t>Wsparcie będzie realizowane w ramach instrumentu ZIT w trybie konkurencyjnym/niekonkurencyjnym, w oparciu o kompleksowe Strategie ponadlokalne/ Strategie ZIT z opracowaną przez związki ZIT listą projektów.</w:t>
      </w:r>
      <w:r>
        <w:br/>
      </w:r>
      <w:r>
        <w:br/>
        <w:t>•</w:t>
      </w:r>
      <w:r>
        <w:tab/>
        <w:t>Inwestycje w elementy infrastruktury drogowej (w tym parkingi) nie będą wspierane, chyba że stanowią integralną część większego projektu, nie są dominującą częścią projektu, a ich koszt nie przekracza 15% kosztów kwalifikowanych projektu. Projekty te nie mogą wiązać się z budową nowych dróg czy parkingów lub – w przypadku istniejących – zwiększaniem ich przepustowości, ani też w żaden inny sposób przyczyniać się do zwiększenia natężenia ruchu samochodowego.</w:t>
      </w:r>
      <w:r>
        <w:br/>
      </w:r>
      <w:r>
        <w:br/>
        <w:t>•</w:t>
      </w:r>
      <w:r>
        <w:tab/>
        <w:t>Inwestycje w nowe obiekty będą dopuszczalne tylko w wyjątkowych, uzasadnionych okolicznościach.</w:t>
      </w:r>
      <w:r>
        <w:br/>
      </w:r>
      <w:r>
        <w:br/>
        <w:t>•</w:t>
      </w:r>
      <w:r>
        <w:tab/>
        <w:t>Brak wsparcia dla państwowych instytucji kultury i instytucji kultury współprowadzonych przez administrację rządową i samorządową (z wyłączeniem przedsięwzięć uzgodnionych w kontrakcie programowym).</w:t>
      </w:r>
      <w:r>
        <w:br/>
      </w:r>
      <w:r>
        <w:lastRenderedPageBreak/>
        <w:br/>
        <w:t>•</w:t>
      </w:r>
      <w:r>
        <w:tab/>
        <w:t>Ze wsparcia na poziomie regionalnym wykluczone są także obiekty UNESCO oraz Pomniki Historii Prezydenta RP- na cele związane z prowadzeniem działalności kulturalnej.</w:t>
      </w:r>
      <w:r>
        <w:br/>
      </w:r>
      <w:r>
        <w:br/>
      </w:r>
      <w:r>
        <w:br/>
        <w:t>•</w:t>
      </w:r>
      <w:r>
        <w:tab/>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w:t>
      </w:r>
      <w:r>
        <w:tab/>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w:t>
      </w:r>
      <w:r>
        <w:tab/>
        <w:t xml:space="preserve">Projekty będą musiały być poprzedzone wykonaniem analizy popytu i oceny potrzeb w celu ograniczenia ryzyka nieefektywności; będą skoordynowane z projektami w sąsiednich obszarach, unikając nakładania się i konkurencji oraz będą miały wpływ wykraczający poza sam projekt na stymulowanie aktywności turystycznej w regionie. </w:t>
      </w:r>
      <w:r>
        <w:br/>
      </w:r>
      <w:r>
        <w:br/>
        <w:t>•</w:t>
      </w:r>
      <w:r>
        <w:tab/>
        <w:t>Działania w obszarze turystyki będą realizowane z poszanowaniem lokalnych zasobów przyrody i przy minimalnej ingerencji w środowisko naturalne oraz z wykorzystaniem rozwiązań cyfrowych.</w:t>
      </w:r>
      <w:r>
        <w:br/>
      </w:r>
      <w:r>
        <w:br/>
        <w:t>•</w:t>
      </w:r>
      <w:r>
        <w:tab/>
        <w:t>Projekty, które mają wpływ na dziedzictwo kulturowe będą dążyć do wykorzystania zapisów dokumentu dot. Europejskich Zasad Jakości dla interwencji o potencjalnym wpływie na dziedzictwo kulturowe (ICOMOS).</w:t>
      </w:r>
      <w:r>
        <w:br/>
      </w:r>
      <w:r>
        <w:br/>
        <w:t>•</w:t>
      </w:r>
      <w:r>
        <w:tab/>
        <w:t>W 3 typie projektu w przypadku turystycznych szlaków rowerowych w przebiegu Regionalnych Tras Rowerowych, wsparcie</w:t>
      </w:r>
      <w:r w:rsidR="002D509E">
        <w:t xml:space="preserve"> </w:t>
      </w:r>
      <w:r>
        <w:t xml:space="preserve">będzie zgodne z zasadami uzgodnionymi dla Regionalnych Tras Rowerowych w ramach celu priorytetowego 2: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 </w:t>
      </w:r>
      <w:r>
        <w:br/>
      </w:r>
      <w:r>
        <w:br/>
        <w:t>Dopuszcza się możliwość łączenia w ramach jednego projektu turystycznych szlaków rowerowych w przebiegu Regionalnych</w:t>
      </w:r>
      <w:r w:rsidR="002D509E">
        <w:t xml:space="preserve"> </w:t>
      </w:r>
      <w:r>
        <w:br/>
        <w:t xml:space="preserve">Tras Rowerowych z innymi turystycznymi szlakami rowerowymi, poprowadzonymi poza RTR. </w:t>
      </w:r>
      <w:r>
        <w:br/>
      </w:r>
      <w:r>
        <w:br/>
        <w:t>B) Preferowane warunki wsparcia:</w:t>
      </w:r>
      <w:r>
        <w:br/>
        <w:t>• realizowanie założeń Nowego Europejskiego Bauhausu</w:t>
      </w:r>
      <w:r>
        <w:br/>
        <w:t>• realizacja jednego z sześciu celów środowiskowych określanych w ww. rozporządzeniu (UE) 2020/852.</w:t>
      </w:r>
      <w:r>
        <w:br/>
        <w:t xml:space="preserve">• realizacja zielonych zamówień publicznych w oparciu o opracowane przez KE wspólne kryteria możliwe </w:t>
      </w:r>
      <w:r>
        <w:lastRenderedPageBreak/>
        <w:t>do stosowania w państwach członkowskich Unii.</w:t>
      </w:r>
      <w:r>
        <w:br/>
        <w:t>• wzmacniające działania międzyregionalne, transgraniczne i transnarodowe z udziałem beneficjentów w co najmniej jednym innym państwie członkowskim lub poza Unią, w stosownych przypadkach.</w:t>
      </w:r>
      <w:r>
        <w:br/>
        <w:t>• w projektach, których będzie to zasadne i możliwe zostaną zastosowane rozwiązania w zakresie obiegu cyrkularnego (w tym efektywności energetycznej i użycia energii z OZE), jak również elementy sprzyjające adaptacji do zmian klimatu (w szczególności zielona i niebieska infrastruktura).</w:t>
      </w:r>
    </w:p>
    <w:p w14:paraId="02C519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9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9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9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9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9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9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9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24 sierpnia 2023 r. w sprawie udzielania pomocy inwestycyjnej na infrastrukturę sportową i wielofunkcyjną infrastrukturę rekreacyjną w ramach regionalnych programów na lata 2021–2027 (Dz.U. 2023 poz. 1818), Rozporządzenie Ministra Funduszy i Polityki Regionalnej z dnia 28 grudnia 2023 r. w sprawie udzielania pomocy regionalnej na rzecz rozwoju obszarów miejskich w ramach regionalnych programów na lata 2021–2027 (Dz.U. 2024 poz. 3), Rozporządzenie Ministra Funduszy i Polityki Regionalnej z dnia 7 sierpnia </w:t>
      </w:r>
      <w:r>
        <w:lastRenderedPageBreak/>
        <w:t>2023 r. w sprawie udzielania pomocy inwestycyjnej na kulturę i zachowanie dziedzictwa kulturowego w ramach regionalnych programów na lata 2021–2027 (Dz.U. 2023 poz. 1678)</w:t>
      </w:r>
    </w:p>
    <w:p w14:paraId="02C519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9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9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9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9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9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9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9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2C519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9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2C519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9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 Zintegrowane Inwestycje Terytorialne (ZIT)</w:t>
      </w:r>
    </w:p>
    <w:p w14:paraId="02C519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9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kultury, Jednostki organizacyjne działające w imieniu jednostek samorządu terytorialnego, Jednostki Samorządu Terytorialnego, Niepubliczne instytucje kultury, Organizacje pozarządowe, Pozarządowe organizacje turystyczne, Zintegrowane Inwestycje Terytorialne (ZIT)</w:t>
      </w:r>
    </w:p>
    <w:p w14:paraId="02C519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9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kultura, turystyka</w:t>
      </w:r>
    </w:p>
    <w:p w14:paraId="02C519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9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9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9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WLWK-PLRO136 - Długość odnowionych szlaków turystycznych</w:t>
      </w:r>
    </w:p>
    <w:p w14:paraId="02C519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WLWK-PLRO137 - Długość utworzonych szlaków turystycznych</w:t>
      </w:r>
    </w:p>
    <w:p w14:paraId="02C519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WLWK-PLRO141 - Liczba instytucji kultury objętych wsparciem</w:t>
      </w:r>
    </w:p>
    <w:p w14:paraId="02C519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9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WLWK-RCO077 - Liczba obiektów kulturalnych i turystycznych objętych wsparciem</w:t>
      </w:r>
    </w:p>
    <w:p w14:paraId="02C519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WLWK-PLRO199 - Liczba projektów, w których sfinansowano koszty racjonalnych usprawnień dla osób z niepełnosprawnościami (EFRR/FST/FS)</w:t>
      </w:r>
    </w:p>
    <w:p w14:paraId="02C519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WLWK-PLRO140 - Liczba wspartych obiektów o charakterze niezabytkowym</w:t>
      </w:r>
    </w:p>
    <w:p w14:paraId="02C519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WLWK-PLRO139 - Liczba zabytków nieruchomych objętych wsparciem</w:t>
      </w:r>
    </w:p>
    <w:p w14:paraId="02C519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19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19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9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WLWK-RCR077 - Liczba osób odwiedzających obiekty kulturalne i turystyczne objęte wsparciem</w:t>
      </w:r>
    </w:p>
    <w:p w14:paraId="02C519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9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19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WLWK-RCR064 - Roczna liczba użytkowników infrastruktury rowerowej</w:t>
      </w:r>
    </w:p>
    <w:p w14:paraId="02C519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9C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0" w:name="_Toc235079828"/>
      <w:r>
        <w:rPr>
          <w:rFonts w:ascii="Calibri" w:hAnsi="Calibri" w:cs="Calibri"/>
          <w:sz w:val="32"/>
        </w:rPr>
        <w:t>Działanie FESL.09.02 Rozwój ZIT</w:t>
      </w:r>
      <w:bookmarkEnd w:id="90"/>
    </w:p>
    <w:p w14:paraId="02C519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9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 - Wspieranie zintegrowanego i sprzyjającego włączeniu społecznemu rozwoju społecznego, gospodarczego i środowiskowego, kultury, dziedzictwa naturalnego, zrównoważonej turystyki i bezpieczeństwa na obszarach miejskich</w:t>
      </w:r>
    </w:p>
    <w:p w14:paraId="02C519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9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5 770 280,00</w:t>
      </w:r>
    </w:p>
    <w:p w14:paraId="02C519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9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5 770 280,00</w:t>
      </w:r>
    </w:p>
    <w:p w14:paraId="02C519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9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169 - Inicjatywy na rzecz rozwoju terytorialnego, w tym przygotowanie strategii terytorialnych</w:t>
      </w:r>
    </w:p>
    <w:p w14:paraId="02C519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9D4" w14:textId="622E4364"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operacji:</w:t>
      </w:r>
      <w:r>
        <w:br/>
        <w:t>Przewiduje się realizację inicjatyw rozwoju terytorialnego, w tym przygotowanie strategii terytorialnych.</w:t>
      </w:r>
      <w:r>
        <w:br/>
        <w:t xml:space="preserve">Wsparcie skierowane jest na zintegrowany rozwój całego województwa w ramach czterech subregionów, stanowiących zgodnie ze Strategią „Śląskie 2030” miejskie obszary funkcjonalne (MOF), w oparciu o strategie ponadlokalne/strategie ZIT, odpowiadające na potrzeby społeczności lokalnych oraz wykorzystujące potencjały danych terytoriów. Celem instrumentu ZIT jest realizacja projektów zintegrowanych, przyczyniających się do rozwiązywania wspólnych problemów i skoordynowanego </w:t>
      </w:r>
      <w:r>
        <w:lastRenderedPageBreak/>
        <w:t>zaspakajania potrzeb obszaru ZIT.</w:t>
      </w:r>
      <w:r>
        <w:br/>
        <w:t xml:space="preserve">Wsparcie ukierunkowane jest na Związki ZIT, które w latach 2014-2020 wdrażały fundusze europejskie w ramach Zintegrowanych i Regionalnych Inwestycji Terytorialnych (ZIT/RIT). Doświadczenia z przyjęcia podejścia zintegrowanego w ramach RPO WSL 2014-2020 oraz zbudowany potencjał instytucjonalny Związków ZIT wskazują na konieczność zmiany roli ZIT, która w perspektywie 2021-2027 polega na kompleksowym wspieraniu zarządzania rozwojem terytorialnym w oparciu o strategie ponadlokalne/strategie ZIT. </w:t>
      </w:r>
      <w:r>
        <w:br/>
        <w:t>Realizowane działania będą obejmowały:</w:t>
      </w:r>
      <w:r>
        <w:br/>
        <w:t>- zarządzanie, koordynacja działań rozwojowych i animacja polityki rozwoju w subregionach,</w:t>
      </w:r>
      <w:r>
        <w:br/>
        <w:t xml:space="preserve">- wzmocnienie potencjału reprezentacji JST w subregionach, tj. ZIT w sferze planistycznej, koordynacyjnej i monitoringowej na rzecz zwiększenia kompetencji do zarządzania rozwojem w wymiarze ponadlokalnym </w:t>
      </w:r>
      <w:r>
        <w:br/>
        <w:t>- zarządzanie strategią ponadlokalną/strategią ZIT oraz</w:t>
      </w:r>
      <w:r w:rsidR="002D509E">
        <w:t xml:space="preserve"> </w:t>
      </w:r>
      <w:r>
        <w:t>listą projektów, tj. jej przygotowanie/aktualizację istniejącej strategii, wdrażanie, monitorowanie i ocenę,</w:t>
      </w:r>
      <w:r>
        <w:br/>
        <w:t>- koordynowanie realizacji projektów wynikających ze strategii ponadlokalnych/strategii ZIT, w szczególności tych współfinansowanych ze środków polityki spójności,</w:t>
      </w:r>
      <w:r>
        <w:br/>
        <w:t>- przygotowanie planów i polityk sektorowych oraz analiz i dokumentów diagnostycznych, zgodnych ze zdiagnozowanymi potrzebami i potencjałami subregionu,</w:t>
      </w:r>
      <w:r>
        <w:br/>
        <w:t>- wzmocnienie koordynacji działań rozwojowych, w tym inwestycyjnych i pozainwestycyjnych na rzecz zwiększenia podaży projektów zintegrowanych oraz komplementarnych,</w:t>
      </w:r>
      <w:r>
        <w:br/>
        <w:t>- przygotowanie i realizację, w tym rozliczenie projektów zintegrowanych/systemowych/komplementarnych, realizowanych na obszarze funkcjonalnym subregionów,</w:t>
      </w:r>
      <w:r>
        <w:br/>
        <w:t>- inicjowanie i animowanie partnerstw i tworzenie mechanizmów współpracy wewnątrzsektorowej i międzysektorowej w subregionach, m.in. poprzez tworzenie grup roboczych oraz sieci współpracy w zakresie rozwiązywania wspólnie zdiagnozowanych problemów i celów rozwojowych poszczególnych subregionów, wymiana doświadczeń między Związkami ZIT oraz partnerami społeczno-gospodarczymi i instytucjami miejskimi zarówno w poszczególnych województwach, jak i na szczeblu krajowym i międzynarodowym,</w:t>
      </w:r>
      <w:r>
        <w:br/>
        <w:t>- wspieranie gmin w szerszym włączeniu mieszkańców oraz organizacji społecznych i partnerów społeczno-gospodarczych w procesy rozwojowe w modelu partycypacyjnym z uwzględnieniem pryncypiów europejskich,</w:t>
      </w:r>
      <w:r>
        <w:br/>
        <w:t>- działania szkoleniowe, doradcze, wsparcie eksperckie i promocyjne służące poprawie jakości projektów, wprowadzaniu innowacji i dobrych praktyk w zarządzaniu rozwojem ponadlokalnym,</w:t>
      </w:r>
      <w:r>
        <w:br/>
        <w:t xml:space="preserve">- współpracę Związków ZIT z IZ w zakresie m.in. monitoringu i ewaluacji projektów realizujących strategie ponadlokalne/strategie ZIT, zaangażowania w prace Komitetu Monitorującego oraz udziału w opracowaniu kryteriów wyboru projektów. </w:t>
      </w:r>
      <w:r>
        <w:br/>
        <w:t>Wsparcie będzie realizowane w ramach instrumentu ZIT, w oparciu o kompleksowe Strategie ponadlokalne/ Strategie ZIT z opracowaną przez związki ZIT listą projektów.</w:t>
      </w:r>
      <w:r>
        <w:br/>
        <w:t>Preferowane będzie wzmacnianie działań międzyregionalnych, transgranicznych i transnarodowych z udziałem beneficjentów w co najmniej jednym innym państwie członkowskim lub poza Unią, w stosownych przypadkach.</w:t>
      </w:r>
      <w:r>
        <w:br/>
      </w:r>
      <w:r>
        <w:lastRenderedPageBreak/>
        <w:t xml:space="preserve">Preferowana będzie również realizacja zielonych zamówień publicznych w oparciu o opracowane przez KE wspólne kryteria możliwe do stosowania w państwach członkowskich Unii. </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9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9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9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9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9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9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02C519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9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02C519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9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uproszczona metoda rozliczania wydatków w oparciu o projekt budżetu [art. 53(3)(b) CPR]</w:t>
      </w:r>
    </w:p>
    <w:p w14:paraId="02C519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9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9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9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9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9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9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9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9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9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9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9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ZIT</w:t>
      </w:r>
    </w:p>
    <w:p w14:paraId="02C519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9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Zintegrowane Inwestycje Terytorialne (ZIT)</w:t>
      </w:r>
    </w:p>
    <w:p w14:paraId="02C519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9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dokumenty_strategiczne, strategia_terytorialna, Zintegrowane_Inwestycje_Terytorialne</w:t>
      </w:r>
    </w:p>
    <w:p w14:paraId="02C519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9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9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9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9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9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19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WLWK-RCO112 - Podmioty zaangażowane w przygotowanie i realizację strategii zintegrowanego rozwoju terytorialnego</w:t>
      </w:r>
    </w:p>
    <w:p w14:paraId="02C519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19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9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02C519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9F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1" w:name="_Toc235079829"/>
      <w:r>
        <w:rPr>
          <w:rFonts w:ascii="Calibri" w:hAnsi="Calibri" w:cs="Calibri"/>
          <w:sz w:val="32"/>
        </w:rPr>
        <w:t>Działanie FESL.09.03 Rewitalizacja obszarów miejskich</w:t>
      </w:r>
      <w:bookmarkEnd w:id="91"/>
    </w:p>
    <w:p w14:paraId="02C519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9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 - Wspieranie zintegrowanego i sprzyjającego włączeniu społecznemu rozwoju społecznego, gospodarczego i środowiskowego, kultury, dziedzictwa naturalnego, zrównoważonej turystyki i bezpieczeństwa na obszarach miejskich</w:t>
      </w:r>
    </w:p>
    <w:p w14:paraId="02C519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9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91 493 581,00</w:t>
      </w:r>
    </w:p>
    <w:p w14:paraId="02C519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A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80 729 630,00</w:t>
      </w:r>
    </w:p>
    <w:p w14:paraId="02C51A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A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168 - Fizyczna odnowa i bezpieczeństwo przestrzeni publicznych</w:t>
      </w:r>
    </w:p>
    <w:p w14:paraId="02C51A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lastRenderedPageBreak/>
        <w:t>Opis działania</w:t>
      </w:r>
    </w:p>
    <w:p w14:paraId="02C51A04" w14:textId="49255171"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Wsparcie przeznaczone będzie na kontynuację procesu wyprowadzania ze stanu kryzysowego obszarów zdegradowanych, objętych rewitalizacją. </w:t>
      </w:r>
      <w:r>
        <w:br/>
      </w:r>
      <w:r>
        <w:br/>
        <w:t>Zakłada się realizację działań kompleksowych odpowiadających na wyzwania i problemy społeczne obszarów rewitalizacji, ze szczególnym uwzględnieniem rozwiązań zrównoważonych, niskoemisyjnych, zasobooszczędnych, wykorzystaniem zielonej i błękitnej infrastruktury, przywróceniem i poprawą jakości środowiska naturalnego oraz dostosowaniem obiektów i przestrzeni do potrzeb osób z niepełnosprawnościami.</w:t>
      </w:r>
      <w:r>
        <w:br/>
      </w:r>
      <w:r>
        <w:br/>
        <w:t>Typ projektu:</w:t>
      </w:r>
      <w:r>
        <w:br/>
      </w:r>
      <w:r>
        <w:br/>
        <w:t xml:space="preserve">Zagospodarowania terenów i obiektów w miastach, oraz na obszarach miejsko-wiejskich wraz z zagospodarowaniem przyległego otoczenia na obszarach rewitalizacji. </w:t>
      </w:r>
      <w:r>
        <w:br/>
      </w:r>
      <w:r>
        <w:br/>
        <w:t>A)</w:t>
      </w:r>
      <w:r>
        <w:tab/>
        <w:t>Obligatoryjne warunki wsparcia:</w:t>
      </w:r>
      <w:r w:rsidR="002D509E">
        <w:t xml:space="preserve"> </w:t>
      </w:r>
      <w:r>
        <w:br/>
      </w:r>
      <w:r>
        <w:br/>
        <w:t>Wsparcie realizowane będzie w oparciu o pozytywnie zweryfikowane Gminne Programy Rewitalizacji (GPR w rozumieniu ustawy o rewitalizacji z dn. 09.10.2015 r. z późn. zm. (uor) zweryfikowany i umieszczony w wykazie programów rewitalizacji), spełniające wymogi strategii terytorialnych zgodnie z art. 36 ust. 8 i 9 ustawy o zasadach realizacji zadań finansowanych ze środków europejskich w perspektywie finansowej 2021–2027.</w:t>
      </w:r>
      <w:r>
        <w:br/>
      </w:r>
      <w:r>
        <w:br/>
        <w:t>Infrastruktura projektu będzie wykorzystywana do realizacji działań o wymiarze społecznym i nie generuje dochodu.</w:t>
      </w:r>
      <w:r>
        <w:br/>
      </w:r>
      <w:r>
        <w:br/>
        <w:t xml:space="preserve">Inwestycje w elementy infrastruktury drogowej (w tym parkingi) nie będą wspierane, chyba że stanowią integralną część większego projektu, nie są dominującą częścią projektu, a ich koszt nie przekracza 15% kosztów kwalifikowanych operacji. Projekty te nie mogą wiązać się z budową nowych dróg czy parkingów lub – w przypadku istniejących – zwiększaniem ich przepustowości, ani też w żaden inny sposób przyczyniać się do zwiększenia natężenia ruchu samochodowego. </w:t>
      </w:r>
      <w:r>
        <w:br/>
      </w:r>
      <w:r>
        <w:br/>
        <w:t>W ramach projektu możliwa jest realizacja ciągów pieszych, ciągów pieszo-rowerowych, dróg/ścieżek/szlaków rowerowych nie wykorzystywanych do prowadzenia ruchu samochodowego.</w:t>
      </w:r>
      <w:r>
        <w:br/>
      </w:r>
      <w:r>
        <w:br/>
        <w:t xml:space="preserve">Wsparcie istniejącej infrastruktury. Nowe inwestycje będą dopuszczalne tylko w wyjątkowych, uzasadnionych okolicznościach. </w:t>
      </w:r>
      <w:r>
        <w:br/>
      </w:r>
      <w:r>
        <w:br/>
        <w:t>W ramach projektu możliwy jest zakup wyposażenia niezbędnego do osiągnięcia celu projektu.</w:t>
      </w:r>
      <w:r w:rsidR="002D509E">
        <w:t xml:space="preserve"> </w:t>
      </w:r>
      <w:r>
        <w:br/>
      </w:r>
      <w:r>
        <w:br/>
      </w:r>
      <w:r>
        <w:lastRenderedPageBreak/>
        <w:t xml:space="preserve">Szczególna dbałość o tereny zielone będzie miała miejsce w projektach rewitalizacyjnych przestrzeni publicznych, których projektowanie winno kierować się postulatami maksymalnego zachowania istniejących drzew i krzewów, poprawy warunków ich wzrostu oraz zwiększania powierzchni biologicznie czynnych. Nie kwalifikuje się usunięcia drzew i krzewów, chyba że: </w:t>
      </w:r>
      <w:r>
        <w:br/>
      </w:r>
      <w:r>
        <w:br/>
        <w:t>• udokumentowano zagrożenie z ich strony np. w wyniku spróchnienia,</w:t>
      </w:r>
      <w:r>
        <w:br/>
        <w:t>• w razie braku możliwości zrealizowania inwestycji bez usunięcia drzewa lub krzewu są one profesjonalnie przesadzone w inne miejsce lub zostaną wykonane nasadzenia zastępcze.</w:t>
      </w:r>
      <w:r>
        <w:br/>
      </w:r>
      <w:r>
        <w:br/>
        <w:t>Brak wsparcia dla infrastruktury mieszkaniowej. Wsparte mogą być przestrzenie funkcjonalnie powiązane z infrastrukturą mieszkaniową (podwórka, otoczenie budynków mieszkalnych i mieszkalno-usługowych).</w:t>
      </w:r>
      <w:r>
        <w:br/>
      </w:r>
      <w:r>
        <w:br/>
        <w:t>Działania wchodzące w zakres innych CP, które będą wdrażane w ramach CP5 muszą być zgodne z zasadami uzgodnionymi dla tych obszarów w ramach odpowiednich CP.</w:t>
      </w:r>
      <w:r>
        <w:br/>
        <w:t>Wydatki związane z wymianą i zakupem instalacji grzewczej, źródła ciepła, termomodernizacją i termoizolacją budynku, wykonaniem OZE w ramach projektu, nie mogą przekroczyć ustalonego limitu procentowego w wartości całkowitej wydatków kwalifikowalnych projektu.</w:t>
      </w:r>
      <w:r>
        <w:br/>
      </w:r>
      <w:r>
        <w:br/>
        <w:t>W ramach działania wspierane będzie zastosowanie rozwiązań cyfrowych, zwłaszcza zdalnego dostępu do usług publicznych, dostępnych w rewitalizowanych obiektach i przestrzeniach.</w:t>
      </w:r>
      <w:r w:rsidR="002D509E">
        <w:t xml:space="preserve"> </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t>B.)</w:t>
      </w:r>
      <w:r w:rsidR="002D509E">
        <w:t xml:space="preserve"> </w:t>
      </w:r>
      <w:r>
        <w:t>Preferowane warunki wsparcia:</w:t>
      </w:r>
      <w:r w:rsidR="002D509E">
        <w:t xml:space="preserve"> </w:t>
      </w:r>
      <w:r>
        <w:br/>
      </w:r>
      <w:r>
        <w:br/>
        <w:t>- realizowanie założeń Nowego Europejskiego Bauhausu;</w:t>
      </w:r>
      <w:r w:rsidR="002D509E">
        <w:t xml:space="preserve"> </w:t>
      </w:r>
      <w:r>
        <w:br/>
      </w:r>
      <w:r>
        <w:br/>
        <w:t xml:space="preserve">- realizacja zielonych zamówień publicznych w oparciu o opracowane przez KE wspólne kryteria możliwe do stosowania w państwach członkowskich Unii. </w:t>
      </w:r>
      <w:r>
        <w:br/>
      </w:r>
      <w:r>
        <w:br/>
        <w:t xml:space="preserve">- realizacja jednego z sześciu celów środowiskowych określanych w rozporządzeniu (UE) 2020/852. </w:t>
      </w:r>
      <w:r>
        <w:br/>
      </w:r>
      <w:r>
        <w:br/>
        <w:t xml:space="preserve">- powiązanie projektów infrastrukturalnych EFRR z projektami społecznymi EFS+ lub projektami realizującymi cele EFS+ w zakresie włączenia społecznego, </w:t>
      </w:r>
      <w:r>
        <w:br/>
      </w:r>
      <w:r>
        <w:br/>
        <w:t xml:space="preserve">- wzmacnianie działań międzyregionalnych, transgranicznych i transnarodowych z udziałem </w:t>
      </w:r>
      <w:r>
        <w:lastRenderedPageBreak/>
        <w:t xml:space="preserve">beneficjentów w co najmniej jednym innym państwie członkowskim lub poza Unią, w stosownych przypadkach </w:t>
      </w:r>
      <w:r>
        <w:br/>
      </w:r>
      <w:r>
        <w:br/>
        <w:t>- zlokalizowanie w OSI Gminy wskazane w Regionalnej Polityce Rewitalizacji.</w:t>
      </w:r>
      <w:r w:rsidR="002D509E">
        <w:t xml:space="preserve"> </w:t>
      </w:r>
    </w:p>
    <w:p w14:paraId="02C51A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A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A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A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A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A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A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A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02C51A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A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A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A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Dotacja</w:t>
      </w:r>
    </w:p>
    <w:p w14:paraId="02C51A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A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A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A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A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A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02C51A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A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 Służby publiczne</w:t>
      </w:r>
    </w:p>
    <w:p w14:paraId="02C51A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A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kultury, Jednostki organizacyjne działające w imieniu jednostek samorządu terytorialnego, Jednostki Samorządu Terytorialnego, Kościoły i związki wyznaniowe, MŚP, Organizacje pozarządowe, Podmioty świadczące usługi publiczne w ramach realizacji obowiązków własnych jednostek samorządu terytorialnego, Uczelnie, Wspólnoty, spółdzielnie mieszkaniowe, TBS i SIM</w:t>
      </w:r>
    </w:p>
    <w:p w14:paraId="02C51A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A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obszar_rewitalizacji</w:t>
      </w:r>
    </w:p>
    <w:p w14:paraId="02C51A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A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Mikro, Średnie</w:t>
      </w:r>
    </w:p>
    <w:p w14:paraId="02C51A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A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A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A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A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A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1A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WLWK-RCO114 - Otwarta przestrzeń utworzona lub rekultywowana na obszarach miejskich</w:t>
      </w:r>
    </w:p>
    <w:p w14:paraId="02C51A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WLWK-PLRO146 - Powierzchnia obszarów objętych rewitalizacją</w:t>
      </w:r>
    </w:p>
    <w:p w14:paraId="02C51A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1A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A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WLWK-PLRR048 - Liczba ludności zamieszkującej obszar rewitalizacji</w:t>
      </w:r>
    </w:p>
    <w:p w14:paraId="02C51A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A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A2C"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2" w:name="_Toc235079830"/>
      <w:r>
        <w:rPr>
          <w:rFonts w:ascii="Calibri" w:hAnsi="Calibri" w:cs="Calibri"/>
          <w:sz w:val="32"/>
        </w:rPr>
        <w:t>Działanie FESL.09.04 Rewitalizacja obszarów miejskich (IF)</w:t>
      </w:r>
      <w:bookmarkEnd w:id="92"/>
    </w:p>
    <w:p w14:paraId="02C51A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A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 - Wspieranie zintegrowanego i sprzyjającego włączeniu społecznemu rozwoju społecznego, gospodarczego i środowiskowego, kultury, dziedzictwa naturalnego, zrównoważonej turystyki i bezpieczeństwa na obszarach miejskich</w:t>
      </w:r>
    </w:p>
    <w:p w14:paraId="02C51A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A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30 312 617,00</w:t>
      </w:r>
    </w:p>
    <w:p w14:paraId="02C51A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A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25 765 724,00</w:t>
      </w:r>
    </w:p>
    <w:p w14:paraId="02C51A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A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168 - Fizyczna odnowa i bezpieczeństwo przestrzeni publicznych</w:t>
      </w:r>
    </w:p>
    <w:p w14:paraId="02C51A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A36" w14:textId="63D9AC4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Realizacja działania zakłada powierzenie zadań jednemu Beneficjentowi zgodnie z art. 59, ust 3 rozporządzenia ramowego nr 2021/1060 z dnia 24 czerwca 2021 r., który będzie wdrażał instrument finansowy pełniąc rolę Funduszu Powierniczego. Beneficjent dokona wyboru podmiotów finansowych, które w roli funduszy szczegółowych będą udzielały wsparcia odbiorcom ostatecznym. </w:t>
      </w:r>
      <w:r>
        <w:br/>
        <w:t xml:space="preserve">Pożyczka będzie oferowana na warunkach korzystniejszych niż rynkowe. Szczegółowy zakres oraz warunki wsparcia będą doprecyzowane w Strategii Inwestycyjnej oraz w metryce produktu finansowego. </w:t>
      </w:r>
      <w:r>
        <w:br/>
        <w:t>Odbiorcy ostateczni wsparcia:</w:t>
      </w:r>
      <w:r>
        <w:br/>
        <w:t>•</w:t>
      </w:r>
      <w:r>
        <w:tab/>
        <w:t>Jednostki samorządu terytorialnego, ich związki i stowarzyszenia;</w:t>
      </w:r>
      <w:r>
        <w:br/>
        <w:t>•</w:t>
      </w:r>
      <w:r>
        <w:tab/>
        <w:t>Związek Metropolitalny;</w:t>
      </w:r>
      <w:r>
        <w:br/>
        <w:t>•</w:t>
      </w:r>
      <w:r>
        <w:tab/>
        <w:t>Podmioty, w których większość udziałów lub akcji posiadają jednostki samorządu terytorialnego lub ich związki i stowarzyszenia;</w:t>
      </w:r>
      <w:r>
        <w:br/>
        <w:t>•</w:t>
      </w:r>
      <w:r>
        <w:tab/>
        <w:t>Podmioty działające na zlecenie jednostek samorządu terytorialnego wybrane zgodnie z prawem zamówień publicznych;</w:t>
      </w:r>
      <w:r>
        <w:br/>
        <w:t>•</w:t>
      </w:r>
      <w:r>
        <w:tab/>
        <w:t>Kościoły i związki wyznaniowe oraz osoby prawne kościołów i związków wyznaniowych;</w:t>
      </w:r>
      <w:r>
        <w:br/>
        <w:t>•</w:t>
      </w:r>
      <w:r>
        <w:tab/>
        <w:t>Organizacje pozarządowe;</w:t>
      </w:r>
      <w:r>
        <w:br/>
        <w:t>•</w:t>
      </w:r>
      <w:r>
        <w:tab/>
        <w:t>Jednostki zaliczane do sektora finansów publicznych (niewymienione wyżej);</w:t>
      </w:r>
      <w:r>
        <w:br/>
        <w:t>•</w:t>
      </w:r>
      <w:r>
        <w:tab/>
        <w:t>Spółdzielnie mieszkaniowe, wspólnoty mieszkaniowe, TBS, spółdzielnie;</w:t>
      </w:r>
      <w:r>
        <w:br/>
        <w:t>•</w:t>
      </w:r>
      <w:r>
        <w:tab/>
        <w:t>Przedsiębiorcy;</w:t>
      </w:r>
      <w:r>
        <w:br/>
        <w:t>•</w:t>
      </w:r>
      <w:r>
        <w:tab/>
        <w:t>Instytucje kultury;</w:t>
      </w:r>
      <w:r>
        <w:br/>
      </w:r>
      <w:r>
        <w:lastRenderedPageBreak/>
        <w:t>•</w:t>
      </w:r>
      <w:r>
        <w:tab/>
        <w:t>Porozumienia ww. podmiotów;</w:t>
      </w:r>
      <w:r>
        <w:br/>
        <w:t>•</w:t>
      </w:r>
      <w:r>
        <w:tab/>
        <w:t>Podmioty działające w oparciu o umowę/ porozumienie w ramach partnerstwa publiczno-prywatnego (tzw. projekty hybrydowe).</w:t>
      </w:r>
      <w:r>
        <w:br/>
      </w:r>
      <w:r>
        <w:br/>
        <w:t>Projekt lub przedsięwzięcie ostatecznych odbiorców z Gminnego Programu Rewitalizacji, spełniającego wymogi strategii terytorialnej w formule innego instrumentu terytorialnego (IIT), opisane w Umowie Partnerstwa i umieszczonego w Wykazie programów rewitalizacji województwa śląskiego.</w:t>
      </w:r>
      <w:r w:rsidR="002D509E">
        <w:t xml:space="preserve"> </w:t>
      </w:r>
      <w:r>
        <w:br/>
        <w:t xml:space="preserve">W ramach działania wspierane będą kompleksowe działania mające na celu przywracanie do życia zdegradowanych społecznie, gospodarczo i środowiskowo obszarów poprzez przywrócenie im starej lub nadanie nowej funkcji. W jej ramach prowadzony będzie szereg wielowątkowych, wzajemnie uzupełniających się i wzmacniających działań, mających na celu wywołanie jakościowej, pozytywnej zmiany na zidentyfikowanym obszarze. </w:t>
      </w:r>
      <w:r>
        <w:br/>
        <w:t xml:space="preserve">Wsparcie ukierunkowane będzie na działania kompleksowe, odpowiadające na wyzwania i problemy społeczne obszarów rewitalizacji, ze szczególnym uwzględnieniem rozwiązań zrównoważonych, niskoemisyjnych, zasobooszczędnych, wykorzystaniem zielonej i błękitnej infrastruktury, przywróceniem i poprawą jakości środowiska naturalnego oraz dostosowaniem obiektów i przestrzeni do potrzeb osób z niepełnosprawnościami, a także zapewnieniem dostępności cyfrowej usług publicznych w rewitalizowanych przestrzeniach. </w:t>
      </w:r>
      <w:r>
        <w:br/>
        <w:t xml:space="preserve">Wsparcie będzie oferowane na terenie gmin miejskich i miejsko-wiejskich województwa śląskiego. </w:t>
      </w:r>
      <w:r>
        <w:br/>
        <w:t xml:space="preserve">Inwestycje będą realizowane na obszarach, dla których planowane są działania rewitalizacyjne wskazane w gminnych programach rewitalizacji (GPR). </w:t>
      </w:r>
      <w:r>
        <w:br/>
        <w:t>Inwestycje w elementy infrastruktury drogowej (w tym parkingi) nie będą wspierane, chyba że stanowią integralną część większego projektu, nie są dominującą częścią projektu, a ich koszt nie przekracza 15% kosztów kwalifikowanych operacji. Projekty te nie mogą wiązać się z budową nowych dróg czy parkingów lub – w przypadku istniejących – zwiększaniem ich przepustowości, ani też w żaden inny sposób przyczyniać się do zwiększenia natężenia ruchu samochodowego.</w:t>
      </w:r>
      <w:r>
        <w:br/>
        <w:t>Nowe inwestycje będą dopuszczalne tylko w wyjątkowych, uzasadnionych okolicznościach.</w:t>
      </w:r>
      <w:r>
        <w:br/>
        <w:t xml:space="preserve">W ramach działania możliwy jest zakup wyposażenia niezbędnego do osiągnięcia celu inwestycji. </w:t>
      </w:r>
      <w:r>
        <w:br/>
        <w:t>W projektach rewitalizacyjnych przestrzeni publicznych należy zapewnić maksymalne zachowanie istniejących drzew i krzewów, poprawę warunków ich wzrostu oraz zwiększanie powierzchni biologicznie czynnych. Nie kwalifikuje się usunięcia drzew i krzewów, chyba że:</w:t>
      </w:r>
      <w:r>
        <w:br/>
        <w:t>• udokumentowano zagrożenie z ich strony np. w wyniku spróchnienia,</w:t>
      </w:r>
      <w:r>
        <w:br/>
        <w:t>• w razie braku możliwości zrealizowania inwestycji bez usunięcia drzewa lub krzewu są one profesjonalnie przesadzone w inne miejsce lub zostaną wykonane nasadzenia zastępcze.</w:t>
      </w:r>
      <w:r>
        <w:br/>
      </w:r>
      <w:r>
        <w:br/>
        <w:t>Wsparcie udzielane jest wyłącznie na te elementy inwestycji, które nie są fizycznie ukończone lub w pełni wdrożone w dniu podjęcia decyzji inwestycyjnej.</w:t>
      </w:r>
      <w:r>
        <w:br/>
        <w:t>Kwalifikowalne są koszty renowacji, rewaloryzacji, modernizacji w zakresie części wspólnych budynków mieszkalnych wielorodzinnych, w przypadku, kiedy są one częścią większego projektu rewitalizacyjnego, w tym na przykład:</w:t>
      </w:r>
      <w:r>
        <w:br/>
        <w:t>•</w:t>
      </w:r>
      <w:r>
        <w:tab/>
        <w:t>remont elewacji, fasad i dachów budynków oraz pomieszczeń i okien umieszczonych na elewacjach;</w:t>
      </w:r>
      <w:r>
        <w:br/>
      </w:r>
      <w:r>
        <w:lastRenderedPageBreak/>
        <w:t>•</w:t>
      </w:r>
      <w:r>
        <w:tab/>
        <w:t>remont, modernizacja instalacji: np. grzewczych, elektrycznych, gazowych i wodnokanalizacyjnych w budynkach;</w:t>
      </w:r>
      <w:r>
        <w:br/>
        <w:t>•</w:t>
      </w:r>
      <w:r>
        <w:tab/>
        <w:t>zagospodarowanie przyległego terenu bezpośrednio i funkcjonalnie związanego z obiektem: np. budowa, remont, przebudowa małej architektury, ogrodzeń;</w:t>
      </w:r>
      <w:r>
        <w:br/>
        <w:t>•</w:t>
      </w:r>
      <w:r>
        <w:tab/>
        <w:t>uporządkowanie przestrzeni;</w:t>
      </w:r>
      <w:r>
        <w:br/>
        <w:t>•</w:t>
      </w:r>
      <w:r>
        <w:tab/>
        <w:t>w zakresie polityki bezpieczeństwa (np. monitoring, oświetlenie) oraz reagowania na różnego rodzaju zagrożenia w przestrzeni publicznej.</w:t>
      </w:r>
      <w:r>
        <w:br/>
      </w:r>
      <w:r>
        <w:br/>
        <w:t>W stosownych przypadkach oraz w zależności od zakresu, realizowane inwestycje odbiorców ostatecznych będą łączyć zasady zrównoważonego rozwoju, estetyki i włączenia, zgodnie z ideą inicjatywy Nowy Europejski Bauhaus.</w:t>
      </w:r>
      <w:r>
        <w:br/>
      </w:r>
      <w:r>
        <w:br/>
        <w:t>W przypadku budynków i obiektów użyteczności publicznej oraz budynków służących celom społecznym zapewniającym bezpieczeństwo osób i mienia dopuszcza się dostosowanie zgodne z koncepcją dual-use, pozwalające na wykorzystanie ich w przypadku wystąpienia zdarzeń kryzysowych (w tym np. instalację magazynów energii off-grid).</w:t>
      </w:r>
      <w:r>
        <w:br/>
      </w:r>
      <w:r>
        <w:br/>
        <w:t>Działania wchodzące w zakres innych CP 1-4, które będą wdrażane w ramach CP5 muszą być zgodne z zasadami uzgodnionymi dla tych obszarów w ramach odpowiednich CP w stopniu wynikającym z zakresu realizowanych inwestycji na zasadach określonych przez IZ.</w:t>
      </w:r>
      <w:r>
        <w:br/>
      </w:r>
      <w:r>
        <w:br/>
        <w:t>Dopuszczalne będą wydatki poniesione na podniesienie poziomu cyberbezpieczeństwa, zgodnie ze standardami wyznaczonymi w ramach krajowego systemu cyberbezpieczeństwa, bez powielania funkcji inwestycji prowadzonych z poziomu krajowego.</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Projekt jest zgodny z zasadą deinstytucjonalizacji.</w:t>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p>
    <w:p w14:paraId="02C51A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A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A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A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90</w:t>
      </w:r>
    </w:p>
    <w:p w14:paraId="02C51A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A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A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A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24 sierpnia 2023 r. w sprawie udzielania pomocy inwestycyjnej na infrastrukturę sportową i wielofunkcyjną infrastrukturę rekreacyjną w ramach regionalnych programów na lata 2021–2027 (Dz.U. 2023 poz. 1818), Rozporządzenie Ministra Funduszy i Polityki Regionalnej z dnia 28 grudnia 2023 r. w sprawie udzielania pomocy regionalnej na rzecz rozwoju obszarów miejskich w ramach regionalnych programów na lata 2021–2027 (Dz.U. 2024 poz. 3),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 Rozporządzenie Ministra Funduszy i Polityki Regionalnej z dnia 7 sierpnia 2023 r. w sprawie udzielania pomocy inwestycyjnej na kulturę i zachowanie dziedzictwa kulturowego w ramach regionalnych programów na lata 2021–2027 (Dz.U. 2023 poz. 1678)</w:t>
      </w:r>
    </w:p>
    <w:p w14:paraId="02C51A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A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02C51A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A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Wsparcie poprzez instrumenty finansowe: pożyczka</w:t>
      </w:r>
    </w:p>
    <w:p w14:paraId="02C51A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A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1A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A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A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A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02C51A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A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w:t>
      </w:r>
    </w:p>
    <w:p w14:paraId="02C51A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A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w:t>
      </w:r>
    </w:p>
    <w:p w14:paraId="02C51A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A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nowe_funkcje_terenów_zdegradowanych, obszar_rewitalizacji, pożyczki_dla_przedsiębiorstw, rewitalizacja, tereny_zdegradowane</w:t>
      </w:r>
    </w:p>
    <w:p w14:paraId="02C51A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A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WLWK-PLRO146 - Powierzchnia obszarów objętych rewitalizacją</w:t>
      </w:r>
    </w:p>
    <w:p w14:paraId="02C51A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A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WLWK-PLRR048 - Liczba ludności zamieszkującej obszar rewitalizacji</w:t>
      </w:r>
    </w:p>
    <w:p w14:paraId="02C51A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A5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3" w:name="_Toc235079831"/>
      <w:r>
        <w:rPr>
          <w:rFonts w:ascii="Calibri" w:hAnsi="Calibri" w:cs="Calibri"/>
          <w:sz w:val="32"/>
        </w:rPr>
        <w:t>Działanie FESL.09.05 Rewitalizacja obszarów wiejskich</w:t>
      </w:r>
      <w:bookmarkEnd w:id="93"/>
    </w:p>
    <w:p w14:paraId="02C51A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A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EFRR.CP5.II - Wspieranie zintegrowanego i sprzyjającego włączeniu społecznemu rozwoju społecznego, gospodarczego i środowiskowego, na poziomie lokalnym, kultury, dziedzictwa naturalnego, zrównoważonej turystyki i bezpieczeństwa na obszarach innych niż miejskie</w:t>
      </w:r>
    </w:p>
    <w:p w14:paraId="02C51A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A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16 024 786,00</w:t>
      </w:r>
    </w:p>
    <w:p w14:paraId="02C51A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A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14 139 517,00</w:t>
      </w:r>
    </w:p>
    <w:p w14:paraId="02C51A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A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121 - Infrastruktura na potrzeby wczesnej edukacji i opieki nad dzieckiem, 127 - Pozostała infrastruktura społeczna przyczyniająca się do włączenia społecznego, 168 - Fizyczna odnowa i bezpieczeństwo przestrzeni publicznych</w:t>
      </w:r>
    </w:p>
    <w:p w14:paraId="02C51A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lastRenderedPageBreak/>
        <w:t>Opis działania</w:t>
      </w:r>
    </w:p>
    <w:p w14:paraId="02C51A5E" w14:textId="48E7B839"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Wsparcie przeznaczone będzie na kontynuację procesu wyprowadzania ze stanu kryzysowego wiejskich obszarów zdegradowanych, objętych rewitalizacją. </w:t>
      </w:r>
      <w:r>
        <w:br/>
      </w:r>
      <w:r>
        <w:br/>
        <w:t>Zakłada się realizację działań kompleksowych odpowiadających na wyzwania i problemy społeczne obszarów rewitalizacji, ze szczególnym uwzględnieniem rozwiązań zrównoważonych, niskoemisyjnych, zasobooszczędnych, wykorzystaniem zielonej i błękitnej infrastruktury, przywróceniem i poprawą jakości środowiska naturalnego oraz dostosowaniem obiektów i przestrzeni do potrzeb osób z niepełnosprawnościami.</w:t>
      </w:r>
      <w:r>
        <w:br/>
      </w:r>
      <w:r>
        <w:br/>
        <w:t>Wsparcie będzie dedykowane projektom kompleksowym, adresującym zróżnicowane potrzeby i problemy obszarów wiejskich w sferze ekonomicznej, społecznej, przestrzennej, środowiskowej i technicznej, w szczególności odpowiadające na pogłębiające się procesy depopulacyjne i starzenie się mieszkańców obszarów wiejskich regionu oraz wymagających dostosowania infrastruktury usług publicznych, w tym społecznych, edukacyjnych, kulturalnych, opiekuńczych do sytuacji demograficznej.</w:t>
      </w:r>
      <w:r w:rsidR="002D509E">
        <w:t xml:space="preserve"> </w:t>
      </w:r>
      <w:r>
        <w:br/>
      </w:r>
      <w:r>
        <w:br/>
        <w:t xml:space="preserve">Typ projektu: </w:t>
      </w:r>
      <w:r>
        <w:br/>
        <w:t>Zagospodarowanie terenów i obiektów na obszarach wiejskich, wraz z zagospodarowaniem przyległego otoczenia na cele realizacji zadań i funkcji niezbędnych dla zaspokojenia potrzeb społeczności gmin wiejskich na obszarach rewitalizacji.</w:t>
      </w:r>
      <w:r>
        <w:br/>
      </w:r>
      <w:r>
        <w:br/>
        <w:t xml:space="preserve">A) Obligatoryjne warunki wsparcia: </w:t>
      </w:r>
      <w:r>
        <w:br/>
      </w:r>
      <w:r>
        <w:br/>
        <w:t xml:space="preserve">Wsparcie realizowane będzie w oparciu o pozytywnie zweryfikowane Gminne Programy Rewitalizacji (GPR w rozumieniu ustawy o rewitalizacji z dn. 09.10.2015 r. z późn. zm. (uor) zweryfikowany i umieszczony w wykazie programów rewitalizacji), spełniające wymogi strategii terytorialnych zgodnie z art. 36 ust. 8 i 9 ustawy o zasadach realizacji zadań finansowanych ze środków europejskich w perspektywie finansowej 2021–2027. </w:t>
      </w:r>
      <w:r>
        <w:br/>
      </w:r>
      <w:r>
        <w:br/>
        <w:t>Infrastruktura projektu będzie wykorzystywana do realizacji działań o wymiarze społecznym i nie generuje dochodu.</w:t>
      </w:r>
      <w:r>
        <w:br/>
      </w:r>
      <w:r>
        <w:br/>
        <w:t>Inwestycje w elementy infrastruktury drogowej (w tym parkingi) nie będą wspierane w ramach celu polityki 5, chyba że stanowią integralną część większego projektu, nie są dominującą częścią projektu, a ich koszt nie przekracza 15% koszty kwalifikowane operacji. Projekty te nie mogą polegać na budowie nowych dróg lub parkingów lub - w przypadku istniejących - zwiększaniu ich przepustowości, ani przyczyniać się do zwiększenia natężenia ruchu samochodowego.</w:t>
      </w:r>
      <w:r>
        <w:br/>
      </w:r>
      <w:r>
        <w:br/>
        <w:t>W ramach projektu możliwa jest realizacja ciągów pieszych, ciągów pieszo-rowerowych, dróg/ścieżek/szlaków rowerowych nie wykorzystywanych do prowadzenia ruchu samochodowego.</w:t>
      </w:r>
      <w:r>
        <w:br/>
      </w:r>
      <w:r>
        <w:lastRenderedPageBreak/>
        <w:br/>
        <w:t>Wsparcie istniejącej infrastruktury. Nowe inwestycje będą dopuszczalne tylko w wyjątkowych, uzasadnionych okolicznościach.</w:t>
      </w:r>
      <w:r>
        <w:br/>
      </w:r>
      <w:r>
        <w:br/>
        <w:t xml:space="preserve">W ramach projektu możliwy jest zakup wyposażenia niezbędnego do osiągnięcia celu projektu. </w:t>
      </w:r>
      <w:r>
        <w:br/>
      </w:r>
      <w:r>
        <w:br/>
        <w:t xml:space="preserve">Szczególna dbałość o tereny zielone będzie miała miejsce w projektach rewitalizacyjnych przestrzeni publicznych, których projektowanie winno kierować się postulatami maksymalnego zachowania istniejących drzew i krzewów, poprawy warunków ich wzrostu oraz zwiększania powierzchni biologicznie czynnych. Nie kwalifikuje się usunięcia drzew i krzewów, chyba że: </w:t>
      </w:r>
      <w:r>
        <w:br/>
      </w:r>
      <w:r>
        <w:br/>
        <w:t>• udokumentowano zagrożenie z ich strony np. w wyniku spróchnienia,</w:t>
      </w:r>
      <w:r>
        <w:br/>
        <w:t>• w razie braku możliwości zrealizowania inwestycji bez usunięcia drzewa lub krzewu są one profesjonalnie przesadzone w inne miejsce lub zostaną wykonane nasadzenia zastępcze.</w:t>
      </w:r>
      <w:r>
        <w:br/>
      </w:r>
      <w:r>
        <w:br/>
        <w:t>Brak wsparcia dla infrastruktury mieszkaniowej. Wsparte będą przestrzenie funkcjonalnie powiązane z infrastrukturą mieszkaniową (podwórka, otoczenie budynków mieszkalnych i mieszkalno-usługowych).</w:t>
      </w:r>
      <w:r>
        <w:br/>
      </w:r>
      <w:r>
        <w:br/>
        <w:t xml:space="preserve">Działania wchodzące w zakres innych CP, które będą wdrażane w ramach CP5 muszą być zgodne z zasadami uzgodnionymi dla tych obszarów w ramach odpowiednich CP. </w:t>
      </w:r>
      <w:r>
        <w:br/>
      </w:r>
      <w:r>
        <w:br/>
        <w:t>Wydatki związane z wymianą i zakupem instalacji grzewczej, źródła ciepła, termomodernizacją i termoizolacją budynku, wykonaniem OZE w ramach projektu, nie mogą przekroczyć ustalonego limitu procentowego w wartości całkowitej wydatków kwalifikowalnych projektu.</w:t>
      </w:r>
      <w:r>
        <w:br/>
      </w:r>
      <w:r>
        <w:br/>
        <w:t>W ramach działania wspierane będzie zastosowanie rozwiązań cyfrowych, zwłaszcza zdalnego dostępu do usług publicznych, dostępnych w rewitalizowanych obiektach i przestrzeniach.</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 xml:space="preserve">Preferowane warunki wsparcia: </w:t>
      </w:r>
      <w:r>
        <w:br/>
      </w:r>
      <w:r>
        <w:br/>
        <w:t>- realizowanie założeń Nowego Europejskiego Bauhausu;</w:t>
      </w:r>
      <w:r>
        <w:br/>
      </w:r>
      <w:r>
        <w:br/>
        <w:t xml:space="preserve">- zastosowanie zielonych zamówień publicznych w oparciu o opracowane przez KE wspólne kryteria </w:t>
      </w:r>
      <w:r>
        <w:lastRenderedPageBreak/>
        <w:t>możliwe do stosowania w państwach członkowskich Unii;</w:t>
      </w:r>
      <w:r>
        <w:br/>
      </w:r>
      <w:r>
        <w:br/>
        <w:t xml:space="preserve">- realizacja jednego z sześciu celów środowiskowych określanych w rozporządzeniu (UE) 2020/852 </w:t>
      </w:r>
      <w:r>
        <w:br/>
      </w:r>
      <w:r>
        <w:br/>
        <w:t xml:space="preserve">- promowanie powiązania projektów infrastrukturalnych EFRR z projektami społecznymi EFS+ lub projektami realizującymi cele EFS+ w zakresie włączenia społecznego, </w:t>
      </w:r>
      <w:r>
        <w:br/>
      </w:r>
      <w:r>
        <w:br/>
        <w:t>- wzmacnianie działań międzyregionalnych, transgranicznych i transnarodowych z udziałem beneficjentów w co najmniej jednym innym państwie członkowskim lub poza Unią, w stosownych przypadkach;</w:t>
      </w:r>
      <w:r>
        <w:br/>
        <w:t>- zlokalizowanie w OSI Gminy</w:t>
      </w:r>
      <w:r w:rsidR="002D509E">
        <w:t xml:space="preserve"> </w:t>
      </w:r>
      <w:r>
        <w:t>wskazane w Regionalnej Polityce Rewitalizacji.</w:t>
      </w:r>
    </w:p>
    <w:p w14:paraId="02C51A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A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A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A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A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A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A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A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7 sierpnia 2023 r. w </w:t>
      </w:r>
      <w:r>
        <w:lastRenderedPageBreak/>
        <w:t>sprawie udzielania pomocy inwestycyjnej na kulturę i zachowanie dziedzictwa kulturowego w ramach regionalnych programów na lata 2021–2027 (Dz.U. 2023 poz. 1678)</w:t>
      </w:r>
    </w:p>
    <w:p w14:paraId="02C51A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A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A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A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A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A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A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A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A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A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02C51A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A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Przedsiębiorstwa, Służby publiczne</w:t>
      </w:r>
    </w:p>
    <w:p w14:paraId="02C51A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A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kultury, Jednostki organizacyjne działające w imieniu jednostek samorządu terytorialnego, Jednostki Samorządu Terytorialnego, Kościoły i związki wyznaniowe, MŚP, Organizacje pozarządowe, Podmioty świadczące usługi publiczne w ramach realizacji obowiązków własnych jednostek samorządu terytorialnego, Wspólnoty, spółdzielnie mieszkaniowe, TBS i SIM</w:t>
      </w:r>
    </w:p>
    <w:p w14:paraId="02C51A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A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obszar_rewitalizacji</w:t>
      </w:r>
    </w:p>
    <w:p w14:paraId="02C51A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A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Mikro, Średnie</w:t>
      </w:r>
    </w:p>
    <w:p w14:paraId="02C51A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A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A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A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A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A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WLWK-RCO074 - Ludność objęta projektami w ramach strategii zintegrowanego rozwoju terytorialnego</w:t>
      </w:r>
    </w:p>
    <w:p w14:paraId="02C51A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WLWK-RCO114 - Otwarta przestrzeń utworzona lub rekultywowana na obszarach miejskich</w:t>
      </w:r>
    </w:p>
    <w:p w14:paraId="02C51A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WLWK-PLRO146 - Powierzchnia obszarów objętych rewitalizacją</w:t>
      </w:r>
    </w:p>
    <w:p w14:paraId="02C51A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1A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A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WLWK-PLRR048 - Liczba ludności zamieszkującej obszar rewitalizacji</w:t>
      </w:r>
    </w:p>
    <w:p w14:paraId="02C51A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A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1A86"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94" w:name="_Toc235079832"/>
      <w:r>
        <w:rPr>
          <w:rFonts w:ascii="Calibri" w:hAnsi="Calibri" w:cs="Calibri"/>
          <w:i w:val="0"/>
          <w:sz w:val="32"/>
        </w:rPr>
        <w:t>Priorytet FESL.10 Fundusze Europejskie na transformację</w:t>
      </w:r>
      <w:bookmarkEnd w:id="94"/>
    </w:p>
    <w:p w14:paraId="02C51A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1A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1A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1A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Fundusz na rzecz Sprawiedliwej Transformacji</w:t>
      </w:r>
    </w:p>
    <w:p w14:paraId="02C51A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1A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CP6 -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A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1A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1A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1A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2 251 556 131,00</w:t>
      </w:r>
    </w:p>
    <w:p w14:paraId="02C51A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1A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2 128 194 229,00</w:t>
      </w:r>
    </w:p>
    <w:p w14:paraId="02C51A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1A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A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A96" w14:textId="3672A4F3"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5" w:name="_Toc235079833"/>
      <w:r>
        <w:rPr>
          <w:rFonts w:ascii="Calibri" w:hAnsi="Calibri" w:cs="Calibri"/>
          <w:sz w:val="32"/>
        </w:rPr>
        <w:lastRenderedPageBreak/>
        <w:t>Działanie FESL.10.01 Wykorzystanie terenów zdegradowanych</w:t>
      </w:r>
      <w:r w:rsidR="002D509E">
        <w:rPr>
          <w:rFonts w:ascii="Calibri" w:hAnsi="Calibri" w:cs="Calibri"/>
          <w:sz w:val="32"/>
        </w:rPr>
        <w:t xml:space="preserve"> </w:t>
      </w:r>
      <w:r>
        <w:rPr>
          <w:rFonts w:ascii="Calibri" w:hAnsi="Calibri" w:cs="Calibri"/>
          <w:sz w:val="32"/>
        </w:rPr>
        <w:t>w celu rozwoju regionu poprzez inwestycje przedsiębiorstw</w:t>
      </w:r>
      <w:bookmarkEnd w:id="95"/>
      <w:r>
        <w:rPr>
          <w:rFonts w:ascii="Calibri" w:hAnsi="Calibri" w:cs="Calibri"/>
          <w:sz w:val="32"/>
        </w:rPr>
        <w:t xml:space="preserve"> </w:t>
      </w:r>
    </w:p>
    <w:p w14:paraId="02C51A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A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A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A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 Centrum Przedsiębiorczości</w:t>
      </w:r>
    </w:p>
    <w:p w14:paraId="02C51A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A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96 044 028,00</w:t>
      </w:r>
    </w:p>
    <w:p w14:paraId="02C51A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A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96 044 028,00</w:t>
      </w:r>
    </w:p>
    <w:p w14:paraId="02C51A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A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073 - Rewaloryzacja obszarów przemysłowych i rekultywacja skażonych gruntów</w:t>
      </w:r>
    </w:p>
    <w:p w14:paraId="02C51A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A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Wsparciem objęte zostaną inwestycje polegające na zagospodarowaniu terenów i obiektów na terenach poprzemysłowych, zdewastowanych i zdegradowanych na cele gospodarcze, środowiskowe, społeczne, edukacyjne.</w:t>
      </w:r>
      <w:r>
        <w:br/>
      </w:r>
      <w:r>
        <w:br/>
        <w:t>Teren poprzemysłowy, zdewastowany, zdegradowany w ramach Priorytetu X Fundusze Europejskie na transformację FE SL 2021-2027, stanowi teren, który został poddany niekorzystnym dla ludzi lub środowiska przekształceniom lub zanieczyszczeniom, powodującym utratę albo ograniczenie wartości użytkowej gruntów i/lub obiektów w związku z realizowaną na nim lub oddziałującą na niego działalnością ludzką.</w:t>
      </w:r>
      <w:r>
        <w:br/>
        <w:t>Tereny takie to w szczególności:</w:t>
      </w:r>
      <w:r>
        <w:br/>
        <w:t>1) tereny poprzemysłowe, w tym pogórnicze, wskazane w bazie OPI TPP 2.0 i kolejnych aktualizacjach bazy;</w:t>
      </w:r>
      <w:r>
        <w:br/>
        <w:t>2) tereny, które przestały być miejscem działalności przemysłowej (m.in. wydobycie węgla kamiennego, brunatnego, torfu i łupków bitumicznych, działalność branż przemysłu charakteryzujących się wysoką intensywnością emisji gazów cieplarnianych, branż powiązanych z sektorem górnictwa) lub przestały pełnić funkcje pomocnicze dla tej działalności, np. magazynowo-składowe, socjalne lub transportowe, łącznie z obszarami niedokończonych inwestycji przemysłowych;</w:t>
      </w:r>
      <w:r>
        <w:br/>
        <w:t xml:space="preserve">3) tereny po zakończonej działalności przemysłowej, zaklasyfikowane obecnie lub uprzednio w ewidencji gruntów i budynków do terenów przemysłowych, kolejowych, wojskowych wraz z terenami, które </w:t>
      </w:r>
      <w:r>
        <w:lastRenderedPageBreak/>
        <w:t>przestały pełnić funkcje pomocnicze dla tych działalności;</w:t>
      </w:r>
      <w:r>
        <w:br/>
        <w:t>4) tereny niezurbanizowane, wymagające łagodzenia negatywnych skutków oddziałującej na nie w przeszłości bądź obecnie działalności przemysłowej. Będą to</w:t>
      </w:r>
      <w:r>
        <w:br/>
        <w:t xml:space="preserve">w szczególności zlikwidowane szyby, hałdy/składowiska, nieczynne osadniki, bocznice kolejowe, wyrobiska, tereny niestabilne z uwagi na wcześniejsze wydobycie bądź składowanie odpadów np. górniczych, tereny o zanieczyszczonym gruncie. </w:t>
      </w:r>
      <w:r>
        <w:br/>
      </w:r>
      <w:r>
        <w:br/>
        <w:t>Wsparcie skierowane będzie na działania związane z zagospodarowaniem terenów poprzemysłowych, w tym w szczególności pogórniczych, obiektów przemysłowych, zdewastowanych, zdegradowanych, jak również ich adaptacja.</w:t>
      </w:r>
      <w:r>
        <w:br/>
        <w:t>W celu wykorzystania endogenicznych potencjałów ww. podregionów górniczych, możliwe będzie nadanie nowych funkcji terenom i obiektom poprzemysłowym również na takie cele jak kulturalne, rekreacyjne, sportowe czy turystyczne, pod warunkiem wykazania realizacji co najmniej jednego celu - gospodarczego, środowiskowego, społecznego lub edukacyjnego. Tereny te nie będą mogły być przeznaczone na działalność produkcyjną Wnioskodawcy (przez działalność produkcyjną należy rozumieć produkcję produktów, a nie świadczenie usług). Mając na względzie charakter wsparcia szczególne znaczenie będzie miała realizacja pozytywnych praktyk w zakresie zasady zrównoważonego rozwoju, zwłaszcza w aspekcie środowiskowym. Wsparcie będzie udzielane w szczególności na prowadzenie robót budowlanych i nabycie materiałów budowlanych, nabycie środków trwałych oraz wartości niematerialnych i prawnych.</w:t>
      </w:r>
      <w:r>
        <w:br/>
      </w:r>
      <w:r>
        <w:br/>
        <w:t>Premiowane będą projekty przyczyniające się do realizacji założeń Nowego Europejskiego Bauhausu.</w:t>
      </w:r>
      <w:r>
        <w:br/>
      </w:r>
      <w:r>
        <w:br/>
        <w:t>Wyklucza się przeznaczenie terenów inwestycyjnych na cele mieszkaniowe (działalność deweloperską).</w:t>
      </w:r>
      <w:r>
        <w:br/>
      </w:r>
      <w:r>
        <w:br/>
        <w:t xml:space="preserve">Mając na względzie zasadę „zanieczyszczający płaci” nie ma możliwości udzielenia wsparcia na prace związane z rekultywacją terenu, który powinien podlegać takim procesom ze strony zanieczyszczającego. </w:t>
      </w:r>
      <w:r>
        <w:br/>
        <w:t>Do wsparcia kwalifikują się wyłącznie projekty zlokalizowane w jednym z 7 podregionów (katowickim, bielskim, tyskim, rybnickim, gliwickim, bytomskim i sosnowieckim) wskazanych w programie Fundusze Europejskie dla Śląskiego 2021 - 2027.</w:t>
      </w:r>
      <w:r>
        <w:br/>
        <w:t>Przedsiębiorstwo musi prowadzić działalność gospodarczą na terenie przynajmniej jednego z 7 wyżej wymienionych podregionów województwa śląskiego, weryfikacja dokonywana będzie na podstawie wpisu do CEIDG/KRS na dzień podpisania umowy o dofinansowanie.</w:t>
      </w:r>
      <w:r>
        <w:br/>
        <w:t>Przedsiębiorstwo ma obowiązek zastosowania zasady n+2 w odniesieniu do okresu realizacji projektów. Oznacza to, że od chwili podpisania umowy o dofinansowanie Beneficjent musi zrealizować projekt ujęty we wniosku o dofinansowanie w ciągu dwóch lat.</w:t>
      </w:r>
      <w:r>
        <w:br/>
        <w:t>W szczególnych przypadkach uzasadnionych charakterem inwestycji, aplikując o wsparcie przedsiębiorstwo może ubiegać się o termin wykraczający poza zasadę n+2, co zostanie ocenione w ramach procedury wyboru projektów. Także po wyborze do dofinansowania, w szczególnych przypadkach uzasadnionych charakterem inwestycji, Instytucja Pośrednicząca może wyrazić zgodę na wydłużenie terminu realizacji projektu. Dłuższy termin realizacji projektu musi uwzględniać możliwy maksymalny termin ponoszenia wydatków kwalifikowalnych.</w:t>
      </w:r>
      <w:r>
        <w:br/>
      </w:r>
      <w:r>
        <w:lastRenderedPageBreak/>
        <w:t>Beneficjent z sektora MŚP, wsparty w ramach FE SL 2021-2027 zobowiązany jest do realizacji i utrzymania projektu, na terenie województwa śląskiego, na obszarze jednego z 7 ww. podregionów województwa śląskiego, przez cały okres realizacji i trwałości. Okres trwałości dla podmiotów wnioskujących o dofinansowanie w ramach działania wynosi 3 lata dla przedsiębiorstw z kategorii MŚP i 5 lat dla dużych przedsiębiorstw.</w:t>
      </w:r>
      <w:r>
        <w:br/>
        <w:t>W ramach działania nie przewidziano wsparcia dla projektów realizowanych w ramach partnerstwa.</w:t>
      </w:r>
      <w:r>
        <w:br/>
        <w:t>W ramach działania wsparcie nie będzie udzielane na inwestycję w infrastrukturę szerokopasmową.</w:t>
      </w:r>
      <w:r>
        <w:br/>
      </w:r>
      <w:r>
        <w:br/>
        <w:t>Działanie będzie realizowane z uwzględnieniem zasad horyzontalnych (zgodnie z art. 9 Rozporządzenia Parlamentu Europejskiego i Rady (UE) nr 2021/1060 z dnia</w:t>
      </w:r>
      <w:r>
        <w:br/>
        <w:t xml:space="preserve">24 czerwca 2021 r.), a obowiązek ich stosowania wynika z Umowy Partnerstwa, programu oraz wytycznych. </w:t>
      </w:r>
    </w:p>
    <w:p w14:paraId="02C51A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A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A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A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A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A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A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A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24 sierpnia 2023 r. w sprawie udzielania pomocy inwestycyjnej na infrastrukturę sportową i wielofunkcyjną infrastrukturę rekreacyjną w ramach regionalnych programów na lata 2021–2027 (Dz.U. 2023 poz. 1818), Rozporządzenie Ministra Funduszy i Polityki Regionalnej z dnia 7 sierpnia 2023 r. w sprawie udzielania pomocy inwestycyjnej na kulturę i zachowanie dziedzictwa kulturowego w ramach regionalnych programów na lata 2021–2027 (Dz.U. 2023 poz. 1678)</w:t>
      </w:r>
    </w:p>
    <w:p w14:paraId="02C51A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A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 7% stawka ryczałtowa na koszty pośrednie (podstawa wyliczenia: koszty bezpośrednie) [art. 54(a) CPR]</w:t>
      </w:r>
    </w:p>
    <w:p w14:paraId="02C51A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A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A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A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A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A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A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A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A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A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Przedsiębiorstwa</w:t>
      </w:r>
    </w:p>
    <w:p w14:paraId="02C51A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A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MŚP</w:t>
      </w:r>
    </w:p>
    <w:p w14:paraId="02C51A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A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nowe_funkcje_terenów_zdegradowanych, sprawiedliwa_transformacja, tereny_pogórnicze, tereny_poprzemysłowe, tereny_zdegradowane</w:t>
      </w:r>
    </w:p>
    <w:p w14:paraId="02C51A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A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1A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A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A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A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A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A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02C51A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1A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1A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1A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WLWK-RCO005 - Nowe przedsiębiorstwa objęte wsparciem</w:t>
      </w:r>
    </w:p>
    <w:p w14:paraId="02C51A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WLWK-RCO002 - Przedsiębiorstwa objęte wsparciem w formie dotacji</w:t>
      </w:r>
    </w:p>
    <w:p w14:paraId="02C51A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PROG-FESLO-27 - Powierzchnia zagospodarowanych terenów</w:t>
      </w:r>
    </w:p>
    <w:p w14:paraId="02C51A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A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WLWK-PLTR004 - Liczba nowych/ulepszonych produktów/usług </w:t>
      </w:r>
    </w:p>
    <w:p w14:paraId="02C51A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1A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1A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PROG-FESLR-16 - Liczba przedsiębiorstw wprowadzających zmianę funkcjonalno-przestrzenną terenu poprzemysłowego </w:t>
      </w:r>
    </w:p>
    <w:p w14:paraId="02C51A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ACF"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6" w:name="_Toc235079834"/>
      <w:r>
        <w:rPr>
          <w:rFonts w:ascii="Calibri" w:hAnsi="Calibri" w:cs="Calibri"/>
          <w:sz w:val="32"/>
        </w:rPr>
        <w:t>Działanie FESL.10.02 Badania, rozwój i innowacje w przedsiębiorstwach na rzecz transformacji</w:t>
      </w:r>
      <w:bookmarkEnd w:id="96"/>
    </w:p>
    <w:p w14:paraId="02C51A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A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A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A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 Centrum Przedsiębiorczości</w:t>
      </w:r>
    </w:p>
    <w:p w14:paraId="02C51A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A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13 000 000,00</w:t>
      </w:r>
    </w:p>
    <w:p w14:paraId="02C51A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A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13 000 000,00</w:t>
      </w:r>
    </w:p>
    <w:p w14:paraId="02C51A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A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010 - Działania badawcze i innowacyjne w MŚP, w tym tworzenie sieci kontaktów, 011 - Działania badawcze i innowacyjne w dużych przedsiębiorstwach, w tym tworzenie sieci kontaktów</w:t>
      </w:r>
    </w:p>
    <w:p w14:paraId="02C51A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A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Wsparcie zostanie przeznaczone na realizację prac badawczo-rozwojowych w przedsiębiorstwach (z wyłączeniem badań podstawowych) nakierowanych na proces transformacji. </w:t>
      </w:r>
      <w:r>
        <w:br/>
      </w:r>
      <w:r>
        <w:br/>
        <w:t>Uzupełniająco, jako element każdego projektu B+R, możliwe jest wsparcie prac przedwdrożeniowych w przedsiębiorstwach.</w:t>
      </w:r>
      <w:r>
        <w:br/>
      </w:r>
      <w:r>
        <w:lastRenderedPageBreak/>
        <w:t>Wdrożenie wyników prac B+R będzie dopuszczalne jako moduł w projekcie badawczo-rozwojowym, przy czym musi on stanowić mniejszość całkowitych wydatków kwalifikowalnych projektu (tj. poniżej 50%).</w:t>
      </w:r>
      <w:r>
        <w:br/>
      </w:r>
      <w:r>
        <w:br/>
        <w:t>Do wsparcia kwalifikują się wyłącznie projekty zlokalizowane w jednym z 7 podregionów (katowickim, bielskim, tyskim, rybnickim, gliwickim, bytomskim i sosnowieckim) wskazanych w programie Fundusze Europejskie dla Śląskiego 2021-2027.</w:t>
      </w:r>
      <w:r>
        <w:br/>
      </w:r>
      <w:r>
        <w:br/>
        <w:t>Przedsiębiorstwo (partner wiodący) musi prowadzić działalność gospodarczą na terenie przynajmniej jednego z 7 wyżej wymienionych podregionów województwa śląskiego, weryfikacja dokonywana będzie na podstawie wpisu do CEIDG/KRS na dzień podpisania umowy o dofinansowanie.</w:t>
      </w:r>
      <w:r>
        <w:br/>
      </w:r>
      <w:r>
        <w:br/>
        <w:t>Dodatkowo wnioskodawca realizując projekt B+R będzie mógł uzyskać wsparcie na cyfryzację procesów badawczych w firmie, podniesienie kompetencji pracowników oraz uzyskanie ochrony własności intelektualnej na rezultaty będące wynikiem prac B+R.</w:t>
      </w:r>
      <w:r>
        <w:br/>
      </w:r>
      <w:r>
        <w:br/>
        <w:t>W ramach działania wspierane będą prace badawcze na rzecz transformacji, które będą nakierowane na rozwiązania (efekty, produkty) przyczyniające się do zmiany profilu działalności i/lub wprowadzenia nowych/ulepszonych neutralnych dla klimatu produktów, usług, procesów, zmniejszania zużycia surowców w procesach produkcyjnych, wdrożenia czystych technologii redukujących masę odpadów lub zapobiegających ich powstaniu, zwiększenia reużycia produktów, recyklingu materiałów i efektywnego gospodarowania zasobami oraz ograniczające zużycie energii w procesach produkcyjnych.</w:t>
      </w:r>
      <w:r>
        <w:br/>
      </w:r>
      <w:r>
        <w:br/>
        <w:t xml:space="preserve">W przypadku prac B+R projekt musi zawierać w sobie prace eksperymentalno – rozwojowe nakierowane na proces transformacji, których realizacja powinna prowadzić do wyniku dającego się skomercjalizować. Prace B+R mogą być realizowane przez samodzielne przedsiębiorstwa, a także przez partnerstwa przemysłowo – naukowe. Partnerami mogą być podmioty spoza regionu oraz kraju. </w:t>
      </w:r>
      <w:r>
        <w:br/>
      </w:r>
      <w:r>
        <w:br/>
        <w:t xml:space="preserve">W przypadku finansowania projektu realizowanego w partnerstwie przez partnera spełniającego definicję „organizacji prowadzącej badania i upowszechniającej wiedzę” (art. 2 pkt. 83 Rozporządzenia 651/2014) w zakresie dotyczącym działalności niegospodarczej – maksymalny poziom dofinansowania może wynieść 100% (w tym przypadku finansowanie nie jest objęte zasadami pomocy państwa). W zakresie dotyczącym działalności gospodarczej intensywność udzielanej pomocy publicznej będzie zgodna z podstawą udzielania pomocy. Informacja o poziomie wsparcia będzie każdorazowo wskazywana dla danego naboru w regulaminie wyboru projektów. </w:t>
      </w:r>
      <w:r>
        <w:br/>
      </w:r>
      <w:r>
        <w:br/>
        <w:t xml:space="preserve">Projekty muszą być realizowane na terenie województwa śląskiego w jednym z 7 podregionów (katowickim, bielskim, tyskim, rybnickim, gliwickim, bytomskim i sosnowieckim). </w:t>
      </w:r>
      <w:r>
        <w:br/>
      </w:r>
      <w:r>
        <w:br/>
        <w:t xml:space="preserve">W ramach działania zakłada się wsparcie dla projektów, których beneficjentem lub partnerem wiodącym partnerstwa/porozumienia jest przedsiębiorstwo. Projekty mogą być realizowane przez: przedsiębiorstwa; Spółki celowe/spin-off ustanawiane przez publiczne instytucje badawcze oraz przedsiębiorstwa; Partnerstwa przedsiębiorstwa i uczelni; Partnerstwa przedsiębiorstwa i instytutów </w:t>
      </w:r>
      <w:r>
        <w:lastRenderedPageBreak/>
        <w:t>badawczych.</w:t>
      </w:r>
      <w:r>
        <w:br/>
      </w:r>
      <w:r>
        <w:br/>
        <w:t>Przedsiębiorstwo (w przypadku realizacji projektu w ramach partnerstwa/porozumienia – partner wiodący) musi prowadzić działalność gospodarczą na terenie jednego z 7 wyżej wymienionych podregionów województwa śląskiego - weryfikacja będzie się odbywać na podstawie wpisu do CEIDG/KRS na dzień podpisania umowy o dofinansowanie.</w:t>
      </w:r>
      <w:r>
        <w:br/>
        <w:t xml:space="preserve"> </w:t>
      </w:r>
      <w:r>
        <w:br/>
        <w:t>W przypadku projektu dotyczącego prac B+R zawierającego moduł wdrożeniowy, nabywane środki trwałe i wartości niematerialne i prawne muszą być zewidencjonowane oraz wykorzystywane na terytorium województwa śląskiego w jednym z 7 podregionów (katowickim, bielskim, tyskim, rybnickim, gliwickim, bytomskim i sosnowieckim).</w:t>
      </w:r>
      <w:r>
        <w:br/>
      </w:r>
      <w:r>
        <w:br/>
        <w:t>Dla projektu dotyczącego realizacji prac badawczo-rozwojowych - w przypadku gdy planowane przedsięwzięcie lub jego część będzie realizowana poza terytorium województwa śląskiego, za miejsce realizacji projektu uznaje się zakład lub oddział Wnioskodawcy/partnera wiodącego, który musi znajdować się w województwie śląskim w jednym z 7 podregionów (katowickim, bielskim, tyskim, rybnickim, gliwickim, bytomskim i sosnowieckim) - weryfikacja będzie się odbywać na podstawie wpisu do CEIDG/KRS na dzień podpisania umowy o dofinansowanie.</w:t>
      </w:r>
      <w:r>
        <w:br/>
      </w:r>
      <w:r>
        <w:br/>
        <w:t>Wsparcie w ramach niniejszego działania skoncentrowane jest w szczególności na MŚP. Przewidziane są również inwestycje dużych przedsiębiorstw, pod warunkiem zapewnienia konkretnych efektów dyfuzji działalności B+R do polskiej gospodarki. Głównym celem wsparcia dużych przedsiębiorstw powinno być podjęcie współpracy z MŚP w zakresie rozwijania i wzmacniania zdolności badawczych i innowacyjnych oraz wykorzystywania zaawansowanych technologii, a także przedstawienie korzyści dla partnerów oraz innych przedsiębiorstw MŚP z regionu.</w:t>
      </w:r>
      <w:r>
        <w:br/>
      </w:r>
      <w:r>
        <w:br/>
        <w:t>Beneficjent aplikując o wsparcie zobowiązany jest do zastosowania zasady:</w:t>
      </w:r>
      <w:r>
        <w:br/>
        <w:t>- n+2 w projektach dotyczących realizacji prac badawczo-rozwojowych na rzecz transformacji,</w:t>
      </w:r>
      <w:r>
        <w:br/>
        <w:t>- n+3 w projektach dotyczących realizacji prac badawczo-rozwojowych na rzecz transformacji wraz z wdrożeniem ich wyników.</w:t>
      </w:r>
      <w:r>
        <w:br/>
      </w:r>
      <w:r>
        <w:br/>
        <w:t>Oznacza to, że od chwili podpisania umowy o dofinansowanie Beneficjent powinien zrealizować projekt ujęty we wniosku o dofinansowanie:</w:t>
      </w:r>
      <w:r>
        <w:br/>
        <w:t>- w ciągu kolejnych dwóch latach (w projektach dot. realizacji prac badawczo-rozwojowych w przypadku realizacji wyłącznie prac B+R),</w:t>
      </w:r>
      <w:r>
        <w:br/>
        <w:t>- w ciągu kolejnych trzech latach (w projektach dot. realizacji prac badawczo-rozwojowych wraz z wdrożeniem ich wyników).</w:t>
      </w:r>
      <w:r>
        <w:br/>
        <w:t>W szczególnych przypadkach Instytucja Pośrednicząca może wyrazić zgodę na wydłużenie terminu dotyczącego zasady n+2 oraz n+3 z uwzględnieniem możliwego maksymalnego terminu ponoszenia wydatków kwalifikowanych.</w:t>
      </w:r>
      <w:r>
        <w:br/>
      </w:r>
      <w:r>
        <w:br/>
        <w:t xml:space="preserve">Projekty realizowane w ramach powyższego celu szczegółowego muszą być zgodne z Programem </w:t>
      </w:r>
      <w:r>
        <w:lastRenderedPageBreak/>
        <w:t>Rozwoju Technologii Województwa Śląskiego na lata 2019-2030 (PRT).</w:t>
      </w:r>
      <w:r>
        <w:br/>
      </w:r>
      <w:r>
        <w:br/>
        <w:t>Przerwanie realizacji projektu badawczego oraz rezygnacja z komercjalizacji poprzez wdrożenie wyników prac B+R, nie będzie skutkować zwrotem środków wyłącznie w przypadku, gdy w trakcie realizacji prac B+R lub po ich zakończeniu beneficjent wykaże, że wdrożenie nie jest możliwe ze względów technicznych i/lub ze względu na brak lub nikłą wartość merytoryczną wyników dotychczas przeprowadzonych prac B+R, bądź też nie jest uzasadnione ze względów ekonomicznych.</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p>
    <w:p w14:paraId="02C51A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A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A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A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A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A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A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A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12 lipca 2023 r. w sprawie udzielania pomocy na wspieranie innowacyjności oraz na innowacje procesowe i organizacyjne w ramach regionalnych programów na lata 2021–2027 (Dz.U. 2023 poz. 1487), Rozporządzenie Ministra Funduszy i Polityki Regionalnej z dnia 17 kwietnia 2024 r. w sprawie udzielania pomocy de minimis w ramach regionalnych programów na lata 2021–2027 (Dz.U. 2024 poz. 598), Rozporządzenie Ministra Funduszy i Polityki Regionalnej z dnia 26 stycznia 2023 r. w sprawie udzielania regionalnej pomocy inwestycyjnej ze środków Funduszu na rzecz Sprawiedliwej Transformacji w ramach regionalnych programów na lata 2021-2027 (Dz.U. 2023 poz. 280), Rozporządzenie Ministra Funduszy i Polityki Regionalnej z dnia 28 lipca 2023 r. w sprawie udzielania pomocy szkoleniowej w zakresie celu polityki CP1 oraz celu szczegółowego Funduszu na rzecz Sprawiedliwej Transformacji w ramach regionalnych programów na lata 2021–2027 (Dz.U. 2023 poz. 1649), Rozporządzenie Ministra Funduszy i Polityki Regionalnej z dnia 29 listopada 2022 </w:t>
      </w:r>
      <w:r>
        <w:lastRenderedPageBreak/>
        <w:t>r. w sprawie udzielania pomocy na badania przemysłowe, eksperymentalne prace rozwojowe oraz studia wykonalności w ramach regionalnych programów na lata 2021–2027 (Dz.U. 2022 poz. 2573)</w:t>
      </w:r>
    </w:p>
    <w:p w14:paraId="02C51A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A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15% stawka ryczałtowa na koszty pośrednie (podstawa wyliczenia: koszty bezpośrednie personelu) [art. 54(b) CPR], do 7% stawka ryczałtowa na koszty pośrednie (podstawa wyliczenia: koszty bezpośrednie) [art. 54(a) CPR], stawka jednostkowa (stawka godzinowa personelu projektu) [art. 55(2-5) CPR]</w:t>
      </w:r>
    </w:p>
    <w:p w14:paraId="02C51A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A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A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A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A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A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A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A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A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A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Partnerstwa, Przedsiębiorstwa</w:t>
      </w:r>
    </w:p>
    <w:p w14:paraId="02C51A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A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Konsorcja naukowo-przemysłowe, MŚP</w:t>
      </w:r>
    </w:p>
    <w:p w14:paraId="02C51A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A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adaptacja_do_zmian_klimatu, B+R, badania, badania_i_rozwój, konsorcjum, prace_badawcze, prace_rozwojowe, sprawiedliwa_transformacja, transformacja</w:t>
      </w:r>
    </w:p>
    <w:p w14:paraId="02C51A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A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1A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A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A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A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A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A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WLWK-PLTO001 - Liczba przedsiębiorstw korzystających ze szkoleń pracowniczych</w:t>
      </w:r>
    </w:p>
    <w:p w14:paraId="02C51A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02C51A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WLWK-PLTO003 - Liczba przedsiębiorstw rozbudowujących zasoby w celu utrzymania konkurencyjności</w:t>
      </w:r>
    </w:p>
    <w:p w14:paraId="02C51A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WLWK-PLRO159 - Liczba przedsiębiorstw wspartych w zakresie realizacji prac B+R </w:t>
      </w:r>
    </w:p>
    <w:p w14:paraId="02C51A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WLWK-PLRO007 - Liczba realizowanych projektów B+R</w:t>
      </w:r>
    </w:p>
    <w:p w14:paraId="02C51B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02C51B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1B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1B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1B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WLWK-RCO005 - Nowe przedsiębiorstwa objęte wsparciem</w:t>
      </w:r>
    </w:p>
    <w:p w14:paraId="02C51B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02C51B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WLWK-RCO010 - Przedsiębiorstwa współpracujące z organizacjami badawczymi</w:t>
      </w:r>
    </w:p>
    <w:p w14:paraId="02C51B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PROG-FESLO-23 - Liczba zakupionych usług doradczych </w:t>
      </w:r>
    </w:p>
    <w:p w14:paraId="02C51B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B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WLWK-PLTR004 - Liczba nowych/ulepszonych produktów/usług </w:t>
      </w:r>
    </w:p>
    <w:p w14:paraId="02C51B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WLWK-PLRR006 - Liczba wdrożonych wyników prac B+R</w:t>
      </w:r>
    </w:p>
    <w:p w14:paraId="02C51B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WLWK-PLRR030 - Liczba wprowadzonych innowacji marketingowych</w:t>
      </w:r>
    </w:p>
    <w:p w14:paraId="02C51B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WLWK-PLRR031 - Liczba wprowadzonych innowacji organizacyjnych</w:t>
      </w:r>
    </w:p>
    <w:p w14:paraId="02C51B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WLWK-PLRR029 - Liczba wprowadzonych innowacji procesowych</w:t>
      </w:r>
    </w:p>
    <w:p w14:paraId="02C51B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WLWK-PLRR028 - Liczba wprowadzonych innowacji produktowych</w:t>
      </w:r>
    </w:p>
    <w:p w14:paraId="02C51B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WLWK-PLRR004 - Liczba zgłoszeń wzorów przemysłowych do Urzędu Patentowego RP</w:t>
      </w:r>
    </w:p>
    <w:p w14:paraId="02C51B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WLWK-PLRR005 - Liczba zgłoszeń wzorów użytkowych do Urzędu Patentowego RP</w:t>
      </w:r>
    </w:p>
    <w:p w14:paraId="02C51B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WLWK-PLRR025 - Małe i średnie przedsiębiorstwa (MŚP) wprowadzające innowacje procesowe</w:t>
      </w:r>
    </w:p>
    <w:p w14:paraId="02C51B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WLWK-PLRR024 - Małe i średnie przedsiębiorstwa (MŚP) wprowadzające innowacje produktowe</w:t>
      </w:r>
    </w:p>
    <w:p w14:paraId="02C51B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1B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WLWK-PLRR026 - MŚP wprowadzające innowacje marketingowe</w:t>
      </w:r>
    </w:p>
    <w:p w14:paraId="02C51B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WLWK-PLRR027 - MŚP wprowadzające innowacje organizacyjne</w:t>
      </w:r>
    </w:p>
    <w:p w14:paraId="02C51B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1B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WLWK-PLRR001 - Wartość nakładów na działalność B+R we wspartych przedsiębiorstwach </w:t>
      </w:r>
    </w:p>
    <w:p w14:paraId="02C51B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WLWK-RCR006 - Złożone wnioski patentowe</w:t>
      </w:r>
    </w:p>
    <w:p w14:paraId="02C51B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PROG-FESLR-06 - Liczba pozytywnie zakończonych prac B+R</w:t>
      </w:r>
    </w:p>
    <w:p w14:paraId="02C51B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PROG-FESLR-05 - Liczba przedsiębiorstw, które wprowadziły zmiany organizacyjno - procesowe</w:t>
      </w:r>
    </w:p>
    <w:p w14:paraId="02C51B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PROG-FESLR-20 - Wnioski w zakresie znaków towarowych oraz wzorów</w:t>
      </w:r>
    </w:p>
    <w:p w14:paraId="02C51B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B1D"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7" w:name="_Toc235079835"/>
      <w:r>
        <w:rPr>
          <w:rFonts w:ascii="Calibri" w:hAnsi="Calibri" w:cs="Calibri"/>
          <w:sz w:val="32"/>
        </w:rPr>
        <w:t>Działanie FESL.10.03 Wsparcie MŚP na rzecz transformacji</w:t>
      </w:r>
      <w:bookmarkEnd w:id="97"/>
    </w:p>
    <w:p w14:paraId="02C51B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B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B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B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 Centrum Przedsiębiorczości</w:t>
      </w:r>
    </w:p>
    <w:p w14:paraId="02C51B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B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425 500 000,00</w:t>
      </w:r>
    </w:p>
    <w:p w14:paraId="02C51B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B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425 500 000,00</w:t>
      </w:r>
    </w:p>
    <w:p w14:paraId="02C51B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B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021 - Rozwój działalności i umiędzynarodowienie MŚP, w tym inwestycje produkcyjne</w:t>
      </w:r>
    </w:p>
    <w:p w14:paraId="02C51B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B29" w14:textId="4C71189A"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przewiduje się udzielanie wsparcia w ramach następujących typów projektów:</w:t>
      </w:r>
      <w:r>
        <w:br/>
      </w:r>
      <w:r>
        <w:br/>
        <w:t>1) Typ projektu - Makroinwestycje w MŚP</w:t>
      </w:r>
      <w:r>
        <w:br/>
        <w:t>Pomoc zostanie skierowana do przedsiębiorstw z sektora MŚP na zasadniczą zmianę procesu produkcji, dywersyfikację działalności, zwiększenie zdolności produkcyjnej i utworzenie nowego zakładu w rozumieniu art. 14 GBER. Projekt będzie musiał przyczyniać się do transformacji województwa śląskiego. Nabór będzie skierowany do przedsiębiorstw produkcyjnych, jak i usługowych. Dofinansowaniu mogą podlegać inwestycje w rzeczowe aktywa trwałe, wartości niematerialne i prawne, roboty i materiały budowlane. Minimalna wartość dofinansowania, o którą będą mogli ubiegać się Wnioskodawcy wynosi 5 000 000,00 PLN.</w:t>
      </w:r>
      <w:r>
        <w:br/>
      </w:r>
      <w:r>
        <w:br/>
        <w:t>2) Typ projektu - Mikroinwestycje w MŚP</w:t>
      </w:r>
      <w:r>
        <w:br/>
        <w:t xml:space="preserve">Pomoc zostanie skierowana do przedsiębiorstw z sektora MŚP. Projekt będzie musiał przyczyniać się do transformacji województwa śląskiego m.in. poprzez dywersyfikację lub zasadniczą zmianę (w tym automatyzację) procesu produkcji. Nabór będzie skierowany do przedsiębiorstw produkcyjnych, jak i </w:t>
      </w:r>
      <w:r>
        <w:lastRenderedPageBreak/>
        <w:t>usługowych. Dofinansowaniu mogą podlegać inwestycje w rzeczowe aktywa trwałe, wartości niematerialne i prawne. Minimalna wartość dofinansowania, o którą będą mogli ubiegać się Wnioskodawcy wynosi</w:t>
      </w:r>
      <w:r w:rsidR="002D509E">
        <w:t xml:space="preserve"> </w:t>
      </w:r>
      <w:r>
        <w:t>500 000,00 PLN. Maksymalna wartość projektu nie może przekroczyć 2 000 000,00 PLN.</w:t>
      </w:r>
      <w:r>
        <w:br/>
      </w:r>
      <w:r>
        <w:br/>
        <w:t>3) Typ projektu - Przemysł czasu wolnego w MŚP</w:t>
      </w:r>
      <w:r>
        <w:br/>
        <w:t>Wsparcie zostanie skierowane do przedsiębiorstw z sektora MŚP na inwestycję początkową zgodną z definicją wskazaną w art. 2 pkt 49 rozporządzenia GBER. Dofinansowanie będzie udzielane w oparciu o art.14 rozporządzenia GBER. Projekty będą przyczyniać się do transformacji województwa śląskiego poprzez realizację inwestycji produkcyjnych w obszarze zaliczanym do przemysłu czasu wolnego, w tym turystyki postindustrialnej. Dofinansowaniu mogą podlegać inwestycje w rzeczowe aktywa trwałe, wartości niematerialne i prawne, roboty i materiały budowlane. Wsparcie zostanie również udzielone na szkolenia. Minimalna wartość dofinansowania, o którą będą mogli ubiegać się Wnioskodawcy wynosi 1 000 000,00 PLN.</w:t>
      </w:r>
      <w:r>
        <w:br/>
        <w:t xml:space="preserve">Wsparciem objęte zostaną inwestycje polegające na zagospodarowaniu terenów i obiektów na terenach poprzemysłowych, zdewastowanych i zdegradowanych na cele związane z przemysłem czasu wolnego, w tym turystyki postindustrialnej. W ramach Priorytetu X Fundusze Europejskie na transformację FE SL 2021-2027 teren poprzemysłowy, zdewastowany, zdegradowany, stanowi teren, który został poddany niekorzystnym dla ludzi lub środowiska przekształceniom lub zanieczyszczeniom, powodującym utratę albo ograniczenie wartości użytkowej gruntów i/lub obiektów w związku z realizowaną na nim lub oddziałującą na niego działalnością ludzką. Szczegółowa charakterystyka ww. terenów wskazana zostanie w kryteriach wyboru projektów. </w:t>
      </w:r>
      <w:r>
        <w:br/>
        <w:t>Inwestycja nie może mieć charakteru produkcji produktów. Dopuszczalne jest jedynie wsparcie inwestycji związanej ze świadczeniem usług. Nie będzie również możliwe dofinansowane prowadzenia działalności usługowej związanej z produkcją, w tym usług wspomagających, towarzyszących lub powiązanych z procesami produkcyjnymi – zarówno bezpośrednio, jak i pośrednio.</w:t>
      </w:r>
      <w:r>
        <w:br/>
        <w:t>Mając na względzie zasadę „zanieczyszczający płaci” nie ma możliwości udzielenia wsparcia na prace związane z rekultywacją terenu, który powinien podlegać takim procesom ze strony zanieczyszczającego.</w:t>
      </w:r>
      <w:r>
        <w:br/>
        <w:t>Przedsiębiorstwo ma obowiązek zastosowania zasady n+2 w odniesieniu do okresu realizacji projektów. Oznacza to, że od chwili podpisania umowy o dofinansowanie Beneficjent musi zrealizować projekt ujęty we wniosku o dofinansowanie w ciągu dwóch lat. W szczególnych przypadkach uzasadnionych charakterem inwestycji, aplikując o wsparcie przedsiębiorstwo może ubiegać się o termin wykraczający poza zasadę n+2, co zostanie ocenione w ramach procedury wyboru projektów.</w:t>
      </w:r>
      <w:r w:rsidR="002D509E">
        <w:t xml:space="preserve"> </w:t>
      </w:r>
      <w:r>
        <w:t xml:space="preserve">Także po wyborze do dofinansowania, w szczególnych przypadkach uzasadnionych charakterem inwestycji, Instytucja Pośrednicząca może wyrazić zgodę na wydłużenie terminu realizacji projektu. Dłuższy termin realizacji projektu musi uwzględniać możliwy maksymalny termin ponoszenia wydatków kwalifikowalnych tj. do 31 grudnia 2029 r. </w:t>
      </w:r>
      <w:r>
        <w:br/>
        <w:t xml:space="preserve">Wnioskodawca - w momencie składania wniosku o dofinansowanie - musi posiadać prawo do dysponowania nieruchomością, na której będzie realizował planowaną inwestycję. </w:t>
      </w:r>
      <w:r>
        <w:br/>
        <w:t>Działalność MŚP w ramach projektu powinna skupiać na rozwijaniu działalności i świadczeniu usług tylko na terenie, na którym dana inwestycja powstała.</w:t>
      </w:r>
      <w:r>
        <w:br/>
        <w:t xml:space="preserve">Premiowane będą projekty przyczyniające się do wykorzystania terenów/ obiektów znajdujących się na </w:t>
      </w:r>
      <w:r>
        <w:lastRenderedPageBreak/>
        <w:t>szlaku techniki industrialnej oraz projekty promujące produkty turystyczne.</w:t>
      </w:r>
      <w:r>
        <w:br/>
        <w:t>Wyklucza się przeznaczenie terenów inwestycyjnych na cele mieszkaniowe (działalność deweloperską).</w:t>
      </w:r>
      <w:r>
        <w:br/>
      </w:r>
      <w:r>
        <w:br/>
        <w:t>4) Typ projektu - Wsparcie rozwoju działalności rzemieślniczej</w:t>
      </w:r>
      <w:r>
        <w:br/>
        <w:t>Wsparcie zostanie skierowane do mikro i małych przedsiębiorstw, na rozwój i utrzymanie działalności rzemieślniczej przedsiębiorstwa, którego dotyczy dowód kwalifikacji zawodowej aplikującego Wnioskodawcy (rzemieślnika w rozumieniu ustawy z dnia 22 marca 1989 r. o rzemiośle, aktualną na dzień ogłoszenia naboru).</w:t>
      </w:r>
      <w:r>
        <w:br/>
        <w:t>O wsparcie mogą się ubiegać wyłącznie przedsiębiorstwa ujęte w CEIDG, w tym wspólnicy spółek cywilnych, o ile przedstawią dowód kwalifikacji zawodowej.</w:t>
      </w:r>
      <w:r>
        <w:br/>
        <w:t xml:space="preserve">Projekty będą musiały się przyczyniać do transformacji województwa śląskiego i utrzymania istniejących miejsc pracy, będą mogły również przyczyniać się do tworzenia nowych miejsc pracy, poprzez inwestycje w rzeczowe aktywa trwałe oraz wartości niematerialne i prawne w ramach prowadzonej działalności produkcyjnej lub usługowej przedsiębiorstwa, w celu modernizacji parku maszynowego i unowocześnienia sposobu świadczenia usług lub produkcji towarów. </w:t>
      </w:r>
      <w:r>
        <w:br/>
        <w:t>Minimalna wartość dofinansowania, o którą będą mogli ubiegać się Wnioskodawcy wynosi 50 000,00 PLN, a maksymalna nie może przekroczyć 400 000,00 PLN.</w:t>
      </w:r>
      <w:r>
        <w:br/>
        <w:t>Projekty w ramach przedmiotowego typu będą mogły być rozliczane kwotami ryczałtowymi.</w:t>
      </w:r>
      <w:r>
        <w:br/>
        <w:t>Weryfikacja czy przedsiębiorca posiada status mikro lub małego przedsiębiorstwa nastąpi na moment złożenia wniosku o dofinansowanie obraz przed podpisaniem umowy o dofinansowanie.</w:t>
      </w:r>
      <w:r>
        <w:br/>
        <w:t>W ramach działania wspierane mogą być inwestycje produkcyjne, logistyczne przyczyniające się do zmiany profilu działalności i/lub wprowadzenia nowych/ulepszonych neutralnych dla klimatu produktów, usług, procesów, zdobycia nowych rynków i stworzenia nowych miejsc pracy lub utrzymania już istniejących w przedsiębiorstwach. Inwestycje przyczyniające się do zmniejszenia zużycia surowców w procesach produkcyjnych, wdrożenie czystych technologii redukujących masę odpadów lub zapobiegających ich powstawaniu, zwiększenie reużycia produktów, recyklingu materiałów i efektywnego gospodarowania zasobami oraz ograniczające zużycie energii w procesach produkcyjnych. Dopuszcza się wspieranie rozwoju kompetencji osób zatrudnionych w przedsiębiorstwach.</w:t>
      </w:r>
      <w:r w:rsidR="002D509E">
        <w:t xml:space="preserve"> </w:t>
      </w:r>
      <w:r>
        <w:br/>
      </w:r>
      <w:r>
        <w:br/>
        <w:t>5) Typ projektu – Mezoinwestycje w MŚP</w:t>
      </w:r>
      <w:r w:rsidR="002D509E">
        <w:t xml:space="preserve"> </w:t>
      </w:r>
      <w:r>
        <w:br/>
        <w:t xml:space="preserve">Pomoc zostanie skierowana do przedsiębiorstw z sektora MŚP na zasadniczą zmianę procesu produkcji, dywersyfikację działalności, zwiększenie zdolności produkcyjnej i utworzenie nowego zakładu w rozumieniu art. 14 GBER. Projekt będzie musiał przyczyniać się do transformacji województwa śląskiego. Nabór będzie skierowany do przedsiębiorstw produkcyjnych, jak i usługowych. Dofinansowaniu mogą podlegać inwestycje w rzeczowe aktywa trwałe, wartości niematerialne i prawne, roboty i materiały budowlane. </w:t>
      </w:r>
      <w:r>
        <w:br/>
      </w:r>
      <w:r>
        <w:br/>
        <w:t>Uzupełniająco, w ramach tego typu projektu możliwe jest także uzyskanie wsparcia przeznaczonego na szkolenia podnoszące kompetencje pracowników (związane z projektem). Minimalna wartość dofinansowania, o którą będą mogli ubiegać się Wnioskodawcy wynosi 2 000 000,00 PLN, a maksymalna wartość wparcia na projekcie nie może przekraczać 5 000 000,00 PLN.</w:t>
      </w:r>
      <w:r>
        <w:br/>
        <w:t xml:space="preserve">Co do zasady przedsiębiorstwo ma obowiązek zastosowania zasady n+2 w odniesieniu do okresu </w:t>
      </w:r>
      <w:r>
        <w:lastRenderedPageBreak/>
        <w:t>realizacji projektów. Oznacza to, że od chwili podpisania umowy o dofinansowanie Beneficjent musi zrealizować projekt ujęty we wniosku o dofinansowanie w ciągu dwóch lat. Dla poszczególnych naborów zasada n+… będzie każdorazowo doprecyzowana w regulaminie wyboru projektów.</w:t>
      </w:r>
      <w:r w:rsidR="002D509E">
        <w:t xml:space="preserve"> </w:t>
      </w:r>
      <w:r>
        <w:br/>
        <w:t>W szczególnych przypadkach Instytucja Pośrednicząca może wyrazić zgodę na wydłużenie terminu dotyczącego zasady n+2 z uwzględnieniem możliwego maksymalnego terminu ponoszenia wydatków kwalifikowanych.</w:t>
      </w:r>
      <w:r>
        <w:br/>
      </w:r>
      <w:r>
        <w:br/>
        <w:t>W ramach działania do wsparcia kwalifikują się wyłącznie projekty zlokalizowane w jednym z 7 podregionów (katowickim, bielskim, tyskim, rybnickim, gliwickim, bytomskim i sosnowieckim) wskazanych w programie Fundusze Europejskie dla Śląskiego 2021 - 2027.</w:t>
      </w:r>
      <w:r>
        <w:br/>
        <w:t xml:space="preserve">Beneficjent zobowiązany jest do utrzymania trwałości projektu, na terenie województwa śląskiego, na obszarze jednego z 7 wyżej wymienionych podregionów województwa śląskiego, weryfikacja dokonywana będzie na podstawie wpisu do CEIDG/KRS/dokonania zgłoszenia NIP-8 na dzień podpisania umowy o dofinansowanie. Okres trwałości dla podmiotów wnioskujących o dofinansowanie w ramach działania wynosi 3 lata. </w:t>
      </w:r>
      <w:r>
        <w:br/>
        <w:t>W ramach działania wsparcie nie będzie udzielane na inwestycję w infrastrukturę szerokopasmową.</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B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B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B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B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B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B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B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B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Ministra Funduszy i Polityki Regionalnej z dnia 17 kwietnia 2024 r. w sprawie udzielania pomocy de minimis w ramach regionalnych programów na lata 2021–2027 (Dz.U. 2024 poz. 598), Rozporządzenie Ministra Funduszy i Polityki Regionalnej z dnia 26 stycznia 2023 r. w sprawie udzielania regionalnej pomocy inwestycyjnej ze środków Funduszu na rzecz Sprawiedliwej Transformacji w ramach regionalnych programów na lata 2021-2027 (Dz.U. 2023 poz. 280), Rozporządzenie Ministra Funduszy i </w:t>
      </w:r>
      <w:r>
        <w:lastRenderedPageBreak/>
        <w:t>Polityki Regionalnej z dnia 28 lipca 2023 r. w sprawie udzielania pomocy szkoleniowej w zakresie celu polityki CP1 oraz celu szczegółowego Funduszu na rzecz Sprawiedliwej Transformacji w ramach regionalnych programów na lata 2021–2027 (Dz.U. 2023 poz. 1649)</w:t>
      </w:r>
    </w:p>
    <w:p w14:paraId="02C51B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B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 uproszczona metoda rozliczania wydatków w oparciu o projekt budżetu [art. 53(3)(b) CPR]</w:t>
      </w:r>
    </w:p>
    <w:p w14:paraId="02C51B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B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B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B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B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B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B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B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B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B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Przedsiębiorstwa</w:t>
      </w:r>
    </w:p>
    <w:p w14:paraId="02C51B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B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MŚP</w:t>
      </w:r>
    </w:p>
    <w:p w14:paraId="02C51B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B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efektywność_energetyczna, gospodarka_o_obiegu_zamkniętym, inwestycja, regiony_górnicze, transformacja, zielona_infrastruktura</w:t>
      </w:r>
    </w:p>
    <w:p w14:paraId="02C51B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B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Mikro, Średnie</w:t>
      </w:r>
    </w:p>
    <w:p w14:paraId="02C51B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B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B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B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B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WLWK-PL0CO02FST - Liczba obiektów dostosowanych do potrzeb osób z niepełnosprawnościami</w:t>
      </w:r>
    </w:p>
    <w:p w14:paraId="02C51B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B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WLWK-PL0CO01FST - Liczba projektów, w których sfinansowano koszty racjonalnych usprawnień dla osób z niepełnosprawnościami</w:t>
      </w:r>
    </w:p>
    <w:p w14:paraId="02C51B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WLWK-PLTO001 - Liczba przedsiębiorstw korzystających ze szkoleń pracowniczych</w:t>
      </w:r>
    </w:p>
    <w:p w14:paraId="02C51B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WLWK-PLTO002 - Liczba przedsiębiorstw objętych wsparciem w celu wprowadzenia produktów nowych dla firmy</w:t>
      </w:r>
    </w:p>
    <w:p w14:paraId="02C51B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02C51B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WLWK-PLTO003 - Liczba przedsiębiorstw rozbudowujących zasoby w celu utrzymania konkurencyjności</w:t>
      </w:r>
    </w:p>
    <w:p w14:paraId="02C51B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1B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1B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1B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WLWK-RCO005 - Nowe przedsiębiorstwa objęte wsparciem</w:t>
      </w:r>
    </w:p>
    <w:p w14:paraId="02C51B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02C51B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B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WLWK-PLTR004 - Liczba nowych/ulepszonych produktów/usług </w:t>
      </w:r>
    </w:p>
    <w:p w14:paraId="02C51B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WLWK-PLRR030 - Liczba wprowadzonych innowacji marketingowych</w:t>
      </w:r>
    </w:p>
    <w:p w14:paraId="02C51B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WLWK-PLRR031 - Liczba wprowadzonych innowacji organizacyjnych</w:t>
      </w:r>
    </w:p>
    <w:p w14:paraId="02C51B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WLWK-PLRR029 - Liczba wprowadzonych innowacji procesowych</w:t>
      </w:r>
    </w:p>
    <w:p w14:paraId="02C51B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WLWK-PLRR028 - Liczba wprowadzonych innowacji produktowych</w:t>
      </w:r>
    </w:p>
    <w:p w14:paraId="02C51B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WLWK-PLRR025 - Małe i średnie przedsiębiorstwa (MŚP) wprowadzające innowacje procesowe</w:t>
      </w:r>
    </w:p>
    <w:p w14:paraId="02C51B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WLWK-PLRR024 - Małe i średnie przedsiębiorstwa (MŚP) wprowadzające innowacje produktowe</w:t>
      </w:r>
    </w:p>
    <w:p w14:paraId="02C51B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1B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WLWK-PLRR026 - MŚP wprowadzające innowacje marketingowe</w:t>
      </w:r>
    </w:p>
    <w:p w14:paraId="02C51B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WLWK-PLRR027 - MŚP wprowadzające innowacje organizacyjne</w:t>
      </w:r>
    </w:p>
    <w:p w14:paraId="02C51B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WLWK-RCR005 - MŚP wprowadzające innowacje wewnątrz przedsiębiorstwa</w:t>
      </w:r>
    </w:p>
    <w:p w14:paraId="02C51B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1B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PROG-FESLR-05 - Liczba przedsiębiorstw, które wprowadziły zmiany organizacyjno - procesowe</w:t>
      </w:r>
    </w:p>
    <w:p w14:paraId="02C51B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PROG-FESLR-24 - Liczba przedsiębiorstw ograniczających konsumpcję</w:t>
      </w:r>
    </w:p>
    <w:p w14:paraId="02C51B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B6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8" w:name="_Toc235079836"/>
      <w:r>
        <w:rPr>
          <w:rFonts w:ascii="Calibri" w:hAnsi="Calibri" w:cs="Calibri"/>
          <w:sz w:val="32"/>
        </w:rPr>
        <w:lastRenderedPageBreak/>
        <w:t>Działanie FESL.10.04 Wsparcie dużych przedsiębiorstw na rzecz transformacji</w:t>
      </w:r>
      <w:bookmarkEnd w:id="98"/>
    </w:p>
    <w:p w14:paraId="02C51B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B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B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B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 Centrum Przedsiębiorczości</w:t>
      </w:r>
    </w:p>
    <w:p w14:paraId="02C51B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B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71 000 000,00</w:t>
      </w:r>
    </w:p>
    <w:p w14:paraId="02C51B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B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71 000 000,00</w:t>
      </w:r>
    </w:p>
    <w:p w14:paraId="02C51B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B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003 - Inwestycje w środki trwałe, w tym infrastrukturę badawczą, w dużych przedsiębiorstwach bezpośrednio związane z działaniami badawczymi i innowacyjnymi, 076 - Wsparcie ekologicznych procesów produkcyjnych oraz efektywnego wykorzystywania zasobów w dużych przedsiębiorstwach</w:t>
      </w:r>
    </w:p>
    <w:p w14:paraId="02C51B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B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Wsparcie dużych przedsiębiorstw na rzecz transformacji pomoc zostanie skierowana do przedsiębiorstw spoza sektora mikro, małych i średnich przedsiębiorstw, na inwestycje produkcyjne mające na celu utrzymanie istniejących oraz tworzenie nowych, trwałych miejsc pracy, w szczególności dla pracowników i społeczności lokalnych dotkniętych skutkami transformacji sektora górnictwa węgla kamiennego i energetyki konwencjonalnej, a także trwałą dywersyfikację działalności gospodarczej przedsiębiorstw uzależnionych od tych sektorów polegającej na: </w:t>
      </w:r>
      <w:r>
        <w:br/>
      </w:r>
      <w:r>
        <w:br/>
        <w:t>1) dostarczaniu produktów oraz usług dla sektora górniczego (w tym m.in. produkcja maszyn i urządzeń górniczych, specjalistycznych materiałów, usługi napraw i konserwacji urządzeń górniczych, dostawy wyrobów gumowych i tworzyw sztucznych) i usługi wspomagające górnictwo;</w:t>
      </w:r>
      <w:r>
        <w:br/>
      </w:r>
      <w:r>
        <w:br/>
        <w:t>2) działalności usługowej lub handlowej w bezpośredniej bliskości od aktywnie funkcjonujących na dzień złożenia wniosku kopalń i zakładów górniczych;</w:t>
      </w:r>
      <w:r>
        <w:br/>
      </w:r>
      <w:r>
        <w:br/>
        <w:t>3) działalności w sektorze metalowym bądź wytwórczej energii elektrycznej lub ciepła w oparciu o dostawy węgla;</w:t>
      </w:r>
      <w:r>
        <w:br/>
      </w:r>
      <w:r>
        <w:br/>
      </w:r>
      <w:r>
        <w:lastRenderedPageBreak/>
        <w:t>Ponadto, wsparcie może być również udzielone na działalność przyczyniającą się do poprawy stanu środowiska naturalnego, koncentrującej się na zrównoważonym rozwoju, ochronie środowiska i minimalizowaniu negatywnego wpływu działalności przemysłowej opartej o konwencjonalne metody oraz narzędzia.</w:t>
      </w:r>
      <w:r>
        <w:br/>
      </w:r>
      <w:r>
        <w:br/>
        <w:t>Jako inwestycję produkcyjną należy rozumieć inwestycje w środki trwałe lub aktywa niematerialne na rzecz przedsiębiorstw, które mają być wykorzystywane do produkcji towarów i usług, zapewniając tym samym wkład w akumulację brutto i zatrudnienie. Dopuszczalne jest również finansowanie robót oraz materiałów budowlanych, o ile są one związane z realizacją powyższych celów inwestycyjnych. Inwestycje te muszą prowadzić do trwałej i mierzalnej zmiany profilu działalności przedsiębiorstwa lub zdobycia nowych rynków</w:t>
      </w:r>
      <w:r>
        <w:br/>
      </w:r>
      <w:r>
        <w:br/>
        <w:t>Indykatywny wykaz operacji i przedsiębiorstw innych niż MŚP, którym ma być udzielone wsparcie, został ujęty w programie FE SL 2021-2027 w części - Terytorialny Plan Sprawiedliwej Transformacji Województwa Śląskiego 2030 lub w dokumencie zatwierdzonym przez Zarząd Województwa Śląskiego.</w:t>
      </w:r>
      <w:r>
        <w:br/>
      </w:r>
      <w:r>
        <w:br/>
        <w:t xml:space="preserve">Pomoc zostanie udzielona w przypadku realizacji jednego z czterech typów inwestycji początkowej - na zasadniczą zmianę procesu produkcji, dywersyfikację działalności, zwiększenie zdolności produkcyjnej lub utworzenie nowego zakładu w rozumieniu art. 14 GBER. </w:t>
      </w:r>
      <w:r>
        <w:br/>
      </w:r>
      <w:r>
        <w:br/>
        <w:t>Wsparcie może zostać udzielone na postawie analizy dowodzącej, że w przypadku braku inwestycji oczekiwana liczba utraconych miejsc pracy przewyższy oczekiwaną liczbę nowych miejsc pracy.</w:t>
      </w:r>
      <w:r>
        <w:br/>
      </w:r>
      <w:r>
        <w:br/>
        <w:t>Wsparcie zostanie skierowane w szczególności do przedsiębiorstw przynależących do branży górniczej/okołogórniczej, które najbardziej odczują skutki transformacji gospodarczej, społecznej i środowiskowej województwa śląskiego, spowodowanej zamykaniem kopalń węgla kamiennego i odejściem od energetyki konwencjonalnej. Zamknięcie tych przedsiębiorstw spowodowałoby kłopoty społeczno-gospodarcze dla społeczności lokalnych oraz gminnych i powiatowych jednostek samorządu terytorialnego. Zamierzeniem interwencji jest zapobieganie negatywnym skutkom społecznym transformacji, w tym dezindustrializacji i trwałemu bezrobociu.</w:t>
      </w:r>
      <w:r>
        <w:br/>
      </w:r>
      <w:r>
        <w:br/>
        <w:t xml:space="preserve">Wsparcie może być skierowane do przedsiębiorstw należących do branży górniczej i okołogórniczej, które realizują inwestycje mające na celu dywersyfikację ich działalności z sektora górniczego i okołogórniczego w kierunku sektora obronnościowego.Dopuszcza się również realizację inwestycji obejmujących rozwiązania o charakterze dual‑use, pod warunkiem że ich zasadniczym i dominującym celem pozostaje dywersyfikacja działalności przedsiębiorstwa w kierunku sektora obronnościowego. </w:t>
      </w:r>
      <w:r>
        <w:br/>
      </w:r>
      <w:r>
        <w:br/>
        <w:t xml:space="preserve">Inwestycje muszą prowadzić do dywersyfikacji gospodarczej województwa śląskiego, w podregionach górniczych wskazanych w programie FE SL 2021-2027, poprzez realizację inwestycji produkcyjnych przyczyniających się do stworzenia nowych miejsc pracy oraz utrzymania już istniejących. Inwestycja powinna prowadzić do zmiany profilu działalności i/lub wprowadzenia nowych/ulepszonych neutralnych lub pozytywnych dla klimatu produktów, usług, procesów, zdobycia nowych rynków a także przyczyniać </w:t>
      </w:r>
      <w:r>
        <w:lastRenderedPageBreak/>
        <w:t>się do zmniejszenia zużycia surowców w procesach produkcyjnych, wdrożenia czystych technologii redukujących masę odpadów lub zapobiegających ich powstawaniu, zwiększenia reużycia produktów, recyklingu materiałów i efektywnego gospodarowania zasobami oraz ograniczające zużycie energii w procesach produkcyjnych.</w:t>
      </w:r>
      <w:r>
        <w:br/>
      </w:r>
      <w:r>
        <w:br/>
        <w:t>Wsparcie może zostać udzielone na projekty zawierające również koszty związane z pracami badawczo-rozwojowymi, które są niezbędne do poniesienia w procesie realizacji inwestycji produkcyjnej. Dofinansowana działalność badawcza musi dotyczyć wzmocnienia działalności gospodarczej przedsiębiorstwa poprzez wdrożenie do jego oferty nowych towarów lub usług.</w:t>
      </w:r>
      <w:r>
        <w:br/>
      </w:r>
      <w:r>
        <w:br/>
        <w:t>Wymagane jest, aby poprzez realizację projektów nastąpiła modernizacja rynków pracy obszarów „transformacji górniczej” rozumiana jako tworzenie trwałych i atrakcyjnych miejsc pracy w sektorach niezwiązanych z sektorem górniczym oraz energetyką konwencjonalną.</w:t>
      </w:r>
      <w:r>
        <w:br/>
      </w:r>
      <w:r>
        <w:br/>
        <w:t>W przypadku, o którym mowa w art. 4 ust. 1 lit. a, rozporządzenia nr 651/2014, pomoc stanowi pomoc indywidualną podlegającą notyfikacji Komisji Europejskiej i może być udzielona po jej zatwierdzeniu przez Komisję Europejską. Dostosowana kwota pomocy, o której mowa w art. 4 ust. 1 lit. a określona jest w stosownym rozporządzeniu krajowym, w oparciu o które udzielana jest pomoc.</w:t>
      </w:r>
      <w:r>
        <w:br/>
      </w:r>
      <w:r>
        <w:br/>
        <w:t>Do wsparcia kwalifikują się wyłącznie projekty zlokalizowane w jednym z 7 podregionów (katowickim, bielskim, tyskim, rybnickim, gliwickim, bytomskim i sosnowieckim).</w:t>
      </w:r>
      <w:r>
        <w:br/>
      </w:r>
      <w:r>
        <w:br/>
        <w:t>Przedsiębiorstwo musi prowadzić działalność gospodarczą na terenie przynajmniej jednego z 7 wyżej wymienionych podregionów województwa śląskiego, weryfikacja dokonywana będzie na podstawie wpisu do CEIDG/KRS na dzień podpisania umowy o dofinansowanie.</w:t>
      </w:r>
      <w:r>
        <w:br/>
      </w:r>
      <w:r>
        <w:br/>
        <w:t xml:space="preserve">Beneficjent ma obowiązek zastosowania zasady n+2 w odniesieniu do okresu realizacji projektów. Oznacza to, że od chwili podpisania umowy o dofinansowanie Beneficjent musi zrealizować projekt ujęty we wniosku o dofinansowanie w ciągu dwóch lat. W szczególnych przypadkach uzasadnionych charakterem inwestycji, Wnioskodawca aplikując o wsparcie może ubiegać się o termin wykraczający poza zasadę n+2, o ile pozwoli na to maksymalny możliwy termin ponoszenia wydatków kwalifikowalnych zgodnie z obowiązującymi właściwymi wytycznymi, co zostanie ocenione w ramach procedury wyboru projektów. Także po wyborze do dofinansowania, w szczególnych przypadkach uzasadnionych charakterem inwestycji, Instytucja Pośrednicząca może wyrazić zgodę na wydłużenie terminu realizacji projektu. Dłuższy termin realizacji projektu musi uwzględniać możliwy maksymalny termin ponoszenia wydatków kwalifikowalnych. </w:t>
      </w:r>
      <w:r>
        <w:br/>
      </w:r>
      <w:r>
        <w:br/>
        <w:t>Okres trwałości dla podmiotów wnioskujących o dofinansowanie w ramach działania wynosi 5 lat.</w:t>
      </w:r>
      <w:r>
        <w:br/>
      </w:r>
      <w:r>
        <w:br/>
        <w:t>Nie przewidziano wsparcia dla projektów realizowanych w ramach partnerstwa.</w:t>
      </w:r>
      <w:r>
        <w:br/>
      </w:r>
      <w:r>
        <w:br/>
        <w:t xml:space="preserve">Działanie będzie realizowane z uwzględnieniem zasad horyzontalnych (zgodnie z art. 9 Rozporządzenia </w:t>
      </w:r>
      <w:r>
        <w:lastRenderedPageBreak/>
        <w:t>Parlamentu Europejskiego i Rady (UE) nr 2021/1060 z dnia 24 czerwca 2021 r.), a obowiązek ich stosowania wynika z Umowy Partnerstwa, programu oraz wytycznych.</w:t>
      </w:r>
      <w:r>
        <w:br/>
      </w:r>
    </w:p>
    <w:p w14:paraId="02C51B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B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B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B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B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B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B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B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17 kwietnia 2024 r. w sprawie udzielania pomocy de minimis w ramach regionalnych programów na lata 2021–2027 (Dz.U. 2024 poz. 598), Rozporządzenie Ministra Funduszy i Polityki Regionalnej z dnia 26 stycznia 2023 r. w sprawie udzielania regionalnej pomocy inwestycyjnej ze środków Funduszu na rzecz Sprawiedliwej Transformacji w ramach regionalnych programów na lata 2021-2027 (Dz.U. 2023 poz. 280), Rozporządzenie Ministra Funduszy i Polityki Regionalnej z dnia 28 lipca 2023 r. w sprawie udzielania pomocy szkoleniowej w zakresie celu polityki CP1 oraz celu szczegółowego Funduszu na rzecz Sprawiedliwej Transformacji w ramach regionalnych programów na lata 2021–2027 (Dz.U. 2023 poz. 1649), Rozporządzenie Ministra Funduszy i Polityki Regionalnej z dnia 29 listopada 2022 r. w sprawie udzielania pomocy na badania przemysłowe, eksperymentalne prace rozwojowe oraz studia wykonalności w ramach regionalnych programów na lata 2021–2027 (Dz.U. 2022 poz. 2573)</w:t>
      </w:r>
    </w:p>
    <w:p w14:paraId="02C51B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B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B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B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B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B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B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Sposób wyboru projektów</w:t>
      </w:r>
    </w:p>
    <w:p w14:paraId="02C51B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B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B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B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B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Przedsiębiorstwa</w:t>
      </w:r>
    </w:p>
    <w:p w14:paraId="02C51B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B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w:t>
      </w:r>
    </w:p>
    <w:p w14:paraId="02C51B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B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dywersyfikacja, inwestycja, regiony_górnicze, sprawiedliwa_transformacja, transformacja, zatrudnienie</w:t>
      </w:r>
    </w:p>
    <w:p w14:paraId="02C51B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B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02C51B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B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B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B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B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B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WLWK-PLTO001 - Liczba przedsiębiorstw korzystających ze szkoleń pracowniczych</w:t>
      </w:r>
    </w:p>
    <w:p w14:paraId="02C51B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WLWK-PLTO002 - Liczba przedsiębiorstw objętych wsparciem w celu wprowadzenia produktów nowych dla firmy</w:t>
      </w:r>
    </w:p>
    <w:p w14:paraId="02C51B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02C51B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02C51B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02C51B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B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WLWK-PLTR002 - Liczba utrzymanych miejsc pracy</w:t>
      </w:r>
    </w:p>
    <w:p w14:paraId="02C51B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1B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1B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B9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9" w:name="_Toc235079837"/>
      <w:r>
        <w:rPr>
          <w:rFonts w:ascii="Calibri" w:hAnsi="Calibri" w:cs="Calibri"/>
          <w:sz w:val="32"/>
        </w:rPr>
        <w:lastRenderedPageBreak/>
        <w:t>Działanie FESL.10.05 Innowacyjna infrastruktura wspierająca gospodarkę</w:t>
      </w:r>
      <w:bookmarkEnd w:id="99"/>
    </w:p>
    <w:p w14:paraId="02C51B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B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B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B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236 851 067,00</w:t>
      </w:r>
    </w:p>
    <w:p w14:paraId="02C51B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B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236 851 067,00</w:t>
      </w:r>
    </w:p>
    <w:p w14:paraId="02C51B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B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020 - Infrastruktura biznesowa dla MŚP (w tym parki i obiekty przemysłowe), 024 - Zaawansowane usługi wsparcia dla MŚP i grup MŚP (w tym usługi w zakresie zarządzania, marketingu i projektowania), 073 - Rewaloryzacja obszarów przemysłowych i rekultywacja skażonych gruntów</w:t>
      </w:r>
    </w:p>
    <w:p w14:paraId="02C51B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BA4" w14:textId="7144949E"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dopuszcza się budowę i rozwój infrastruktury, w tym badawczo-rozwojowej, parków technologicznych, hubów technologicznych, centrów projektowych, centrów kreatywności i innowacji, centrów nauki przyczyniających się do transformacji podregionów górniczych. Realizowane inwestycje przyczynią się do rozwoju ośrodków wspierających tworzenie oraz transfer wiedzy i technologii neutralnych dla zielonej, inteligentnej, cyfrowej gospodarki oraz rozwoju nowych innowacyjnych branż. </w:t>
      </w:r>
      <w:r>
        <w:br/>
      </w:r>
      <w:r>
        <w:br/>
        <w:t xml:space="preserve">Realizowane będzie wsparcie przedsięwzięć przyczyniających się do budowy pozycji wiodących ośrodków w obszarze innowacyjnego i wysoko technologicznego przemysłu, rozwoju przedsiębiorczości, tworzenia nowych firm oraz prowadzenia działalności gospodarczej. </w:t>
      </w:r>
      <w:r>
        <w:br/>
      </w:r>
      <w:r>
        <w:br/>
        <w:t>W ramach działania możliwe</w:t>
      </w:r>
      <w:r w:rsidR="002D509E">
        <w:t xml:space="preserve"> </w:t>
      </w:r>
      <w:r>
        <w:t>będzie również tworzenie i realizacja programów rozwojowych oferowanych przez wsparte podmioty,</w:t>
      </w:r>
      <w:r w:rsidR="002D509E">
        <w:t xml:space="preserve"> </w:t>
      </w:r>
      <w:r>
        <w:t xml:space="preserve">oraz wspieranie umiejętności i kompetencji osób bezpośrednio związanych z przedmiotem projektu. </w:t>
      </w:r>
      <w:r>
        <w:br/>
      </w:r>
      <w:r>
        <w:br/>
        <w:t>Jako element projektu dopuszcza się działania takie jak: remediacja, rekultywacja, regeneracja, renaturyzacja terenów poprzemysłowych (jako niedominujący element projektu).</w:t>
      </w:r>
      <w:r>
        <w:br/>
      </w:r>
      <w:r>
        <w:br/>
        <w:t xml:space="preserve">Dopuszcza się finansowanie infrastruktury drogowej (w tym parkingów), jeżeli koszty związane z doprowadzeniem drogi do terenu poprzemysłowego/zdewastowanego/zdegradowanego nie </w:t>
      </w:r>
      <w:r>
        <w:lastRenderedPageBreak/>
        <w:t>przekraczają 15% kosztów kwalifikowanych i są niezbędnym elementem projektu. Drogi wewnętrzne i parkingi zlokalizowane na terenie poprzemysłowym/zdewastowanym/zdegradowanym mogą być kosztem kwalifikowalnym i nie wliczają się do tego limitu. Drogi publiczne na terenie poprzemysłowym/zdewastowanym/zdegradowanym wliczają się do ww. limitu.</w:t>
      </w:r>
      <w:r>
        <w:br/>
      </w:r>
      <w:r>
        <w:br/>
        <w:t>Ze środków FST nie będą wspierane inwestycje związane z dalszym rozwojem produktów, usług i procesów przeznaczonych do wykorzystania w sektorze wydobywczym.</w:t>
      </w:r>
      <w:r>
        <w:br/>
      </w:r>
      <w:r>
        <w:br/>
        <w:t xml:space="preserve">W ramach celu szczegółowego możliwa będzie realizacja przedsięwzięć polegających na wymianie doświadczeń i wiedzy, zwłaszcza z innymi regionami w transformacji jako kontynuacja inicjatywy Coal Regions in Transition.  </w:t>
      </w:r>
      <w:r>
        <w:br/>
      </w:r>
      <w:r>
        <w:br/>
        <w:t>Obligatoryjne warunki wsparcia:</w:t>
      </w:r>
      <w:r w:rsidR="002D509E">
        <w:t xml:space="preserve"> </w:t>
      </w:r>
      <w:r>
        <w:br/>
      </w:r>
      <w:r>
        <w:br/>
        <w:t>Wsparciem objęte są przedsięwzięcia priorytetowe wskazane w Kontrakcie Programowym dla Województwa Śląskiego.</w:t>
      </w:r>
      <w:r>
        <w:br/>
      </w:r>
      <w:r>
        <w:br/>
        <w:t xml:space="preserve">Wsparciem objęte zostaną projekty realizowane na obszarach transformacji obejmujących podregiony:   </w:t>
      </w:r>
      <w:r>
        <w:br/>
      </w:r>
      <w:r>
        <w:br/>
        <w:t xml:space="preserve">1. Katowicki,   </w:t>
      </w:r>
      <w:r>
        <w:br/>
      </w:r>
      <w:r>
        <w:br/>
        <w:t xml:space="preserve">2. Sosnowiecki,   </w:t>
      </w:r>
      <w:r>
        <w:br/>
      </w:r>
      <w:r>
        <w:br/>
        <w:t xml:space="preserve">3. Tyski,   </w:t>
      </w:r>
      <w:r>
        <w:br/>
      </w:r>
      <w:r>
        <w:br/>
        <w:t xml:space="preserve">4. Bytomski,   </w:t>
      </w:r>
      <w:r>
        <w:br/>
      </w:r>
      <w:r>
        <w:br/>
        <w:t xml:space="preserve">5. Gliwicki,   </w:t>
      </w:r>
      <w:r>
        <w:br/>
      </w:r>
      <w:r>
        <w:br/>
        <w:t xml:space="preserve">6. Rybnicki,  </w:t>
      </w:r>
      <w:r>
        <w:br/>
      </w:r>
      <w:r>
        <w:br/>
        <w:t xml:space="preserve">7. Bielski   </w:t>
      </w:r>
      <w:r>
        <w:br/>
      </w:r>
      <w:r>
        <w:br/>
        <w:t>zgodnie z zapisami Terytorialnego Planu Sprawiedliwej Transformacji Województwa Śląskiego 2030. </w:t>
      </w:r>
      <w:r>
        <w:br/>
        <w:t xml:space="preserve"> </w:t>
      </w:r>
      <w:r>
        <w:br/>
        <w:t xml:space="preserve">Projekt jest zgodny z zasadą deinstytucjonalizacji. </w:t>
      </w:r>
      <w:r>
        <w:br/>
      </w:r>
      <w:r>
        <w:br/>
        <w:t>Działanie będzie realizowane z uwzględnieniem zasad horyzontalnych (zgodnie z art. 9 Rozporządzenia Parlamentu Europejskiego i Rady (UE) nr 2021/1060 z dnia 24 czerwca 2021 r.), a obowiązek ich stosowania wynika z Umowy Partnerstwa, programu oraz wytycznych. </w:t>
      </w:r>
      <w:r>
        <w:br/>
      </w:r>
      <w:r>
        <w:br/>
        <w:t xml:space="preserve">Wszystkie przedsięwzięcia powinny być realizowane w zgodzie z właściwymi przepisami prawa </w:t>
      </w:r>
      <w:r>
        <w:lastRenderedPageBreak/>
        <w:t xml:space="preserve">krajowego i unijnego, znajdującymi zastosowanie w odniesieniu do danego projektu.  </w:t>
      </w:r>
      <w:r>
        <w:br/>
      </w:r>
      <w:r>
        <w:br/>
        <w:t>Preferowane warunki wsparcia:</w:t>
      </w:r>
      <w:r w:rsidR="002D509E">
        <w:t xml:space="preserve"> </w:t>
      </w:r>
      <w:r>
        <w:br/>
      </w:r>
      <w:r>
        <w:br/>
        <w:t>Preferowane będzie wsparcie istniejącej infrastruktury, natomiast inwestycje w nowe obiekty będą dopuszczalne tylko w wyjątkowych, uzasadnionych okolicznościach.</w:t>
      </w:r>
      <w:r>
        <w:br/>
      </w:r>
      <w:r>
        <w:br/>
        <w:t>Premiowane będą projekty, które mają istotny wkład w realizację jednego z sześciu celów środowiskowych określanych w rozporządzeniu (UE) 2020/852.</w:t>
      </w:r>
      <w:r>
        <w:br/>
      </w:r>
      <w:r>
        <w:br/>
        <w:t xml:space="preserve">Rekomenduje się realizację zielonych zamówień publicznych w oparciu o opracowane przez KE wspólne kryteria możliwe do stosowania w państwach członkowskich Unii. </w:t>
      </w:r>
      <w:r>
        <w:br/>
      </w:r>
      <w:r>
        <w:br/>
        <w:t>Premiowane będą projekty realizujące założenia Nowego Europejskiego Bauhausu.</w:t>
      </w:r>
      <w:r>
        <w:br/>
      </w:r>
      <w:r>
        <w:br/>
        <w:t>Możliwe będzie realizowanie projektów partnerskich zgodnie z art. 39 oraz projektów hybrydowych zgodnie z art. 40 ustawy o zasadach realizacji zadań finansowanych ze środków europejskich w perspektywie finansowej 2021-2027.</w:t>
      </w:r>
    </w:p>
    <w:p w14:paraId="02C51B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B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B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B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B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B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B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B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w:t>
      </w:r>
      <w:r>
        <w:lastRenderedPageBreak/>
        <w:t>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minimis w ramach regionalnych programów na lata 2021–2027 (Dz.U. 2024 poz. 598), Rozporządzenie Ministra Funduszy i Polityki Regionalnej z dnia 26 stycznia 2023 r. w sprawie udzielania regionalnej pomocy inwestycyjnej ze środków Funduszu na rzecz Sprawiedliwej Transformacji w ramach regionalnych programów na lata 2021-2027 (Dz.U. z 2024 poz. 1587), Rozporządzenie Ministra Funduszy i Polityki Regionalnej z dnia 29 listopada 2022 r. w sprawie udzielania pomocy inwestycyjnej na infrastrukturę badawczą w ramach regionalnych programów na lata 2021–2027 (Dz.U. 2022 poz. 2498)</w:t>
      </w:r>
    </w:p>
    <w:p w14:paraId="02C51B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B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B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B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B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B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B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B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B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B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B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B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Partnerstwa, Przedsiębiorstwa, Przedsiębiorstwa realizujące cele publiczne, Służby publiczne</w:t>
      </w:r>
    </w:p>
    <w:p w14:paraId="02C51B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B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otoczenia biznesu, Jednostki naukowe, Jednostki organizacyjne działające w imieniu jednostek samorządu terytorialnego, Jednostki Samorządu Terytorialnego, MŚP, Organizacje badawcze, Ośrodki innowacji, Podmioty świadczące usługi publiczne w ramach realizacji obowiązków własnych jednostek samorządu terytorialnego, Podmioty zarządzające terenami inwestycyjnymi, Uczelnie</w:t>
      </w:r>
    </w:p>
    <w:p w14:paraId="02C51B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B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infrastruktura_badawcza, innowacja, neutralność_klimatyczna, regiony_górnicze, sprawiedliwa_transformacja, tereny_pogórnicze</w:t>
      </w:r>
    </w:p>
    <w:p w14:paraId="02C51B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B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B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02C51B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B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B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02C51B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02C51B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B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B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WLWK-PLRO005 - Liczba wspartych laboratoriów badawczych</w:t>
      </w:r>
    </w:p>
    <w:p w14:paraId="02C51B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02C51B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02C51B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02C51B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02C51B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WLWK-RCO038 - Powierzchnia wspieranych zrekultywowanych gruntów</w:t>
      </w:r>
    </w:p>
    <w:p w14:paraId="02C51B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WLWK-RCO015 - Wytworzona zdolność inkubacji przedsiębiorstw</w:t>
      </w:r>
    </w:p>
    <w:p w14:paraId="02C51B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02C51B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PROG-FESLO-18 - Liczba wspartych obiektów infrastruktury (innych niż budynki mieszkalne) zlokalizowanych na obszarze objętym transformacją</w:t>
      </w:r>
    </w:p>
    <w:p w14:paraId="02C51B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B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WLWK-RCR052 - Grunty zrekultywowane wykorzystywane jako tereny zielone, pod budowę lokali socjalnych lub pod działalność gospodarczą lub inną</w:t>
      </w:r>
    </w:p>
    <w:p w14:paraId="02C51B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02C51B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02C51B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B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WLWK-RCR102 - Miejsca pracy dla naukowców utworzone we wspieranych jednostkach</w:t>
      </w:r>
    </w:p>
    <w:p w14:paraId="02C51B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1B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WLWK-RCR018 - MŚP korzystające z usług inkubatora przedsiębiorczości po jego utworzeniu</w:t>
      </w:r>
    </w:p>
    <w:p w14:paraId="02C51B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WLWK-RCR098 - Pracownicy MŚP kończący szkolenia w zakresie rozwoju umiejętności w zakresie inteligentnej specjalizacji, transformacji przemysłowej i przedsiębiorczości (według rodzaju umiejętności: techniczne, zarzadzanie, przedsiębiorczość, ekologiczne, inne)</w:t>
      </w:r>
    </w:p>
    <w:p w14:paraId="02C51B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WLWK-RCR097 - Programy przygotowania zawodowego wspierane w MŚP</w:t>
      </w:r>
    </w:p>
    <w:p w14:paraId="02C51B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WLWK-PLRR032 - Przychód z komercjalizacji wyników B+R w organizacjach badawczych</w:t>
      </w:r>
    </w:p>
    <w:p w14:paraId="02C51B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1B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BDC"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0" w:name="_Toc235079838"/>
      <w:r>
        <w:rPr>
          <w:rFonts w:ascii="Calibri" w:hAnsi="Calibri" w:cs="Calibri"/>
          <w:sz w:val="32"/>
        </w:rPr>
        <w:t>Działanie FESL.10.06 Rozwój energetyki rozproszonej opartej o odnawialne źródła energii</w:t>
      </w:r>
      <w:bookmarkEnd w:id="100"/>
    </w:p>
    <w:p w14:paraId="02C51B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B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B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B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340 053 481,00</w:t>
      </w:r>
    </w:p>
    <w:p w14:paraId="02C51B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B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302 845 000,00</w:t>
      </w:r>
    </w:p>
    <w:p w14:paraId="02C51B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B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047 - Energia odnawialna: wiatrowa, 048 - Energia odnawialna: słoneczna, 049 - Energia odnawialna: biomasa, 050 - Energia odnawialna: biomasa o wysokim poziomie redukcji emisji gazów cieplarnianych, 052 - Inne rodzaje energii odnawialnej (w tym energia geotermalna)</w:t>
      </w:r>
    </w:p>
    <w:p w14:paraId="02C51B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BE6" w14:textId="31965BE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projektu</w:t>
      </w:r>
      <w:r>
        <w:br/>
      </w:r>
      <w:r>
        <w:br/>
        <w:t>W ramach działania przewiduje się realizację następujących typów projektów:</w:t>
      </w:r>
      <w:r>
        <w:br/>
        <w:t>1.</w:t>
      </w:r>
      <w:r>
        <w:tab/>
        <w:t>Infrastruktura służąca do produkcji i/lub magazynowania energii z odnawialnych źródeł (projekty inne niż parasolowe i grantowe).</w:t>
      </w:r>
      <w:r>
        <w:br/>
        <w:t>2.</w:t>
      </w:r>
      <w:r>
        <w:tab/>
        <w:t>Infrastruktura służąca do produkcji i/lub magazynowania energii z odnawialnych źródeł w projektach parasolowych i grantowych.</w:t>
      </w:r>
      <w:r>
        <w:br/>
      </w:r>
      <w:r>
        <w:br/>
        <w:t>Ostateczny poziom dofinansowania zostanie ustalony w regulaminie wyboru projektów.</w:t>
      </w:r>
      <w:r>
        <w:br/>
        <w:t>Wsparciem objęte zostaną m.in.:</w:t>
      </w:r>
      <w:r>
        <w:br/>
      </w:r>
      <w:r>
        <w:br/>
        <w:t>Budowa, rozbudowa, zakup, montaż infrastruktury służącej do wytwarzania, dystrybucji i magazynowania (na potrzeby danego źródła) energii elektrycznej i cieplnej z odnawialnych źródeł energii wraz z ewentualnym podłączeniem do sieci, w tym:</w:t>
      </w:r>
      <w:r>
        <w:br/>
      </w:r>
      <w:r>
        <w:lastRenderedPageBreak/>
        <w:t>1.</w:t>
      </w:r>
      <w:r>
        <w:tab/>
        <w:t>urządzenia/instalacje wykorzystujące źródła odnawialne oparte na energii:</w:t>
      </w:r>
      <w:r>
        <w:br/>
        <w:t>– wiatru (np. turbiny wiatrowe);</w:t>
      </w:r>
      <w:r>
        <w:br/>
        <w:t>– promieniowania słonecznego (np. panele fotowoltaiczne, kolektory słoneczne);</w:t>
      </w:r>
      <w:r>
        <w:br/>
        <w:t xml:space="preserve">– aerotermalnej (np. powietrzne pompy ciepła); </w:t>
      </w:r>
      <w:r>
        <w:br/>
        <w:t>– geotermalnej (np. gruntowe pompy ciepła);</w:t>
      </w:r>
      <w:r>
        <w:br/>
        <w:t>– hydrotermalnej (np. pompy ciepła);</w:t>
      </w:r>
      <w:r>
        <w:br/>
        <w:t xml:space="preserve">– hydroenergii (np. elektrownia wodna); </w:t>
      </w:r>
      <w:r>
        <w:br/>
        <w:t>– pochodzącej z biomasy, biogazu, biogazu rolniczego i biopłynów;</w:t>
      </w:r>
      <w:r>
        <w:br/>
      </w:r>
      <w:r>
        <w:br/>
        <w:t>2.</w:t>
      </w:r>
      <w:r>
        <w:tab/>
        <w:t>układy hybrydowe, w których w procesie wytwarzania energii wykorzystuje się dwa (lub więcej) różne źródła energii odnawialnej, tj. np. latarnia fotowoltaiczno-wiatrowa;</w:t>
      </w:r>
      <w:r>
        <w:br/>
      </w:r>
      <w:r>
        <w:br/>
        <w:t>3.</w:t>
      </w:r>
      <w:r>
        <w:tab/>
        <w:t>instalacje OZE wraz z magazynem energii dostosowanym do potrzeb instalacji;</w:t>
      </w:r>
      <w:r>
        <w:br/>
      </w:r>
      <w:r>
        <w:br/>
        <w:t>4.</w:t>
      </w:r>
      <w:r>
        <w:tab/>
        <w:t>magazyny energii jako elementu rozbudowy istniejących instalacji do produkcji energii i ciepła z OZE;</w:t>
      </w:r>
      <w:r>
        <w:br/>
      </w:r>
      <w:r>
        <w:br/>
        <w:t>5.</w:t>
      </w:r>
      <w:r>
        <w:tab/>
        <w:t>rekultywacja</w:t>
      </w:r>
      <w:r w:rsidR="002D509E">
        <w:t xml:space="preserve"> </w:t>
      </w:r>
      <w:r>
        <w:t>terenów przeznaczonych pod instalacje OZE jako element niedominujący w projekcie dot. OZE; za działanie rekultywacyjne uznaje się procesy polegające na przywracaniu wartości użytkowych i przyrodniczych;</w:t>
      </w:r>
      <w:r>
        <w:br/>
      </w:r>
      <w:r>
        <w:br/>
        <w:t>6.</w:t>
      </w:r>
      <w:r>
        <w:tab/>
        <w:t>działania edukacyjno-informacyjne dotyczące korzyści z zastosowania OZE oraz promocji alternatywnych źródeł energii, jak również podnoszenia świadomości i wiedzy w zakresie wykorzystania OZE (wyłącznie jako uzupełniająca część projektu).</w:t>
      </w:r>
      <w:r>
        <w:br/>
      </w:r>
      <w:r>
        <w:br/>
        <w:t>7.</w:t>
      </w:r>
      <w:r>
        <w:tab/>
        <w:t>Projekty dotyczące energetyki rozproszonej i prosumenckiej, w tym: projekty prosumentów zbiorowych i wirtualnych, projekty grantowe (zgodnie z art. 41 ustawy o zasadach realizacji zadań finansowanych ze środków europejskich w perspektywie finansowej 2021-2027) i projekty parasolowe (projekt, w którym jeden podmiot np. gmina wnioskuje na rzecz odbiorców końcowych np. mieszkańców).</w:t>
      </w:r>
      <w:r>
        <w:br/>
      </w:r>
      <w:r>
        <w:br/>
        <w:t>8.</w:t>
      </w:r>
      <w:r>
        <w:tab/>
        <w:t>Projekty realizowane przez społeczności energetyczne w tym: klastry energii i spółdzielnie energetyczne (w rozumieniu ustawy o odnawialnych źródłach energii), wnioskodawca musi się wpisywać w katalog typów beneficjentów.</w:t>
      </w:r>
      <w:r>
        <w:br/>
      </w:r>
      <w:r>
        <w:br/>
        <w:t>9.</w:t>
      </w:r>
      <w:r>
        <w:tab/>
        <w:t>Projekty</w:t>
      </w:r>
      <w:r w:rsidR="002D509E">
        <w:t xml:space="preserve"> </w:t>
      </w:r>
      <w:r>
        <w:t>realizowane w uzgodnieniu z Lokalnymi Grupami Działania, odpowiadające potrzebom lokalnym; wnioskodawca musi się wpisywać w katalog typów beneficjentów. Weryfikacja zgodności projektu z celami strategii rozwoju lokalnego kierowanego przez społeczność (LSR) nastąpi na podstawie potwierdzenia wystawionego przez Lokalną Grupę Działania. Wsparcie oferowane będzie dla projektów realizowanych na obszarze ww. strategii realizowanej w ramach umowy o warunkach i sposobie realizacji strategii rozwoju lokalnego kierowanego przez społeczność lokalną zawartej z Zarządem Województwa Śląskiego.</w:t>
      </w:r>
      <w:r>
        <w:br/>
      </w:r>
      <w:r>
        <w:lastRenderedPageBreak/>
        <w:br/>
        <w:t>10.</w:t>
      </w:r>
      <w:r>
        <w:tab/>
        <w:t>Projekty realizowane w formie projektów hybrydowych (art. 40 ustawy o zasadach realizacji zadań finansowanych ze środków europejskich w perspektywie finansowej 2021-2027) oraz projektów partnerskich (art. 39 ustawy o zasadach realizacji zadań finansowanych ze środków europejskich w perspektywie finansowej 2021-2027) - wnioskodawca musi się wpisywać w katalog typów beneficjentów.</w:t>
      </w:r>
      <w:r>
        <w:br/>
      </w:r>
      <w:r>
        <w:br/>
        <w:t>Obligatoryjne warunki wsparcia:</w:t>
      </w:r>
      <w:r>
        <w:br/>
      </w:r>
      <w:r>
        <w:br/>
        <w:t>1.</w:t>
      </w:r>
      <w:r>
        <w:tab/>
        <w:t xml:space="preserve">Wsparciem objęte zostaną projekty realizowane na obszarach transformacji obejmujących podregiony: </w:t>
      </w:r>
      <w:r>
        <w:br/>
        <w:t xml:space="preserve">– katowicki, </w:t>
      </w:r>
      <w:r>
        <w:br/>
        <w:t xml:space="preserve">– sosnowiecki, </w:t>
      </w:r>
      <w:r>
        <w:br/>
        <w:t xml:space="preserve">– tyski, </w:t>
      </w:r>
      <w:r>
        <w:br/>
        <w:t xml:space="preserve">– bytomski, </w:t>
      </w:r>
      <w:r>
        <w:br/>
        <w:t xml:space="preserve">– gliwicki, </w:t>
      </w:r>
      <w:r>
        <w:br/>
        <w:t>– rybnicki,</w:t>
      </w:r>
      <w:r>
        <w:br/>
        <w:t xml:space="preserve">– bielski, </w:t>
      </w:r>
      <w:r>
        <w:br/>
        <w:t>zgodnie z zapisami Terytorialnego Planu Sprawiedliwej Transformacji Województwa Śląskiego 2030.</w:t>
      </w:r>
      <w:r>
        <w:br/>
      </w:r>
      <w:r>
        <w:br/>
        <w:t>2.</w:t>
      </w:r>
      <w:r>
        <w:tab/>
        <w:t>Biomasa wykorzystywana do wytwarzania energii oraz biopaliwa muszą spełniać kryteria zrównoważonego rozwoju określone w dyrektywie Parlamentu Europejskiego i Rady (UE) 2018/2001 z 11 grudnia 2018 r. w sprawie promowania stosowania energii ze źródeł odnawialnych. Zgodnie z treścią art. 29 Dyrektywy: "[…] Paliwa z biomasy muszą spełniać kryteria zrównoważonego rozwoju i ograniczania emisji gazów cieplarnianych określone w ust. 2–7 i 10 w przypadku, gdy są stosowane w instalacjach produkujących energię elektryczną, ciepło i chłód lub paliwa, o całkowitej nominalnej mocy cieplnej wynoszącej co najmniej 20 MW w przypadku stałych paliw z biomasy lub o całkowitej nominalnej mocy cieplnej wynoszącej co najmniej 2 MW w przypadku gazowych paliw z biomasy. […]".</w:t>
      </w:r>
      <w:r>
        <w:br/>
      </w:r>
      <w:r>
        <w:br/>
        <w:t>3.</w:t>
      </w:r>
      <w:r>
        <w:tab/>
        <w:t>W zakresie energetyki wodnej:</w:t>
      </w:r>
      <w:r>
        <w:br/>
        <w:t>– współfinansowane będą tylko projekty na już istniejących budowlach piętrzących, niemające negatywnego wpływu na stan lub potencjał jednolitych części wód, wyposażonych w hydroelektrownie, przy jednoczesnym zapewnieniu pełnej drożności budowli dla przemieszczeń fauny wodnej;</w:t>
      </w:r>
      <w:r>
        <w:br/>
        <w:t>– projekty muszą być zgodne z obowiązującymi Planami Gospodarowania Wodami w Dorzeczach;</w:t>
      </w:r>
      <w:r>
        <w:br/>
        <w:t>– projekty nie mogą mieć negatywnego wpływu na stan lub potencjał jednolitych części wód, wyposażonych w hydroelektrownie, przy jednoczesnym zapewnieniu pełnej drożności budowli dla przemieszczeń fauny wodnej.</w:t>
      </w:r>
      <w:r>
        <w:br/>
      </w:r>
      <w:r>
        <w:br/>
        <w:t>4.</w:t>
      </w:r>
      <w:r>
        <w:tab/>
        <w:t xml:space="preserve">Wspierane inwestycje nie mogą: </w:t>
      </w:r>
      <w:r>
        <w:br/>
        <w:t xml:space="preserve">– powodować nieosiągnięcia dobrego stanu lub potencjału jednolitych części wód, </w:t>
      </w:r>
      <w:r>
        <w:br/>
        <w:t>– pogarszać stanu lub potencjału jednolitych części wód,</w:t>
      </w:r>
      <w:r>
        <w:br/>
        <w:t>– mieć znaczącego wpływu na cele ochrony obszarów objętych siecią Natura 2000.</w:t>
      </w:r>
      <w:r>
        <w:br/>
      </w:r>
      <w:r>
        <w:br/>
      </w:r>
      <w:r>
        <w:lastRenderedPageBreak/>
        <w:t>5. Inwestycje związane z niwelowaniem skutków działalności przemysłowej, w tym górniczej na środowisko (m.in. remediacja, rekultywacja, regeneracja, renaturyzacja, dekontaminacja terenów poprzemysłowych oraz oczyszczenie zanieczyszczonych wód podziemnych i powierzchniowych) muszą uwzględniać zasadę "zanieczyszczający płaci" oraz regulacje dotyczące odpowiedzialności za szkody spowodowane ruchem zakładu górniczego.</w:t>
      </w:r>
      <w:r>
        <w:br/>
      </w:r>
      <w:r>
        <w:br/>
        <w:t>6. Projekty powinny cechować się odpowiednią efektywnością kosztową w powiązaniu z osiąganymi efektami ekologicznymi w stosunku do planowanych nakładów finansowych.</w:t>
      </w:r>
      <w:r>
        <w:br/>
      </w:r>
      <w:r>
        <w:br/>
        <w:t>7.</w:t>
      </w:r>
      <w:r>
        <w:tab/>
        <w:t xml:space="preserve">Projekt jest zgodny z zasadą deinstytucjonalizacji. </w:t>
      </w:r>
      <w:r>
        <w:br/>
      </w:r>
      <w:r>
        <w:br/>
        <w:t>8.</w:t>
      </w:r>
      <w:r w:rsidR="002D509E">
        <w:t xml:space="preserve"> </w:t>
      </w:r>
      <w: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9. 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10. Warunki dotyczące typów beneficjentów:</w:t>
      </w:r>
      <w:r>
        <w:br/>
        <w:t>10.1. Jednostki samorządu terytorialnego – do tego typu zalicza się również związki jst, stowarzyszenia jst, związek metropolitalny.</w:t>
      </w:r>
      <w:r>
        <w:br/>
        <w:t>10.2. Przedsiębiorca realizujący cele publiczne – oznacza spółkę z większościowym udziałem jst, ich związku, ich stowarzyszenia, związku metropolitalnego.</w:t>
      </w:r>
      <w:r>
        <w:br/>
        <w:t>10.3. Wspólnoty energetyczne, w tym klastry energii i spółdzielnie energetyczne - wnioskować o wsparcie może tylko podmiot wpisujący się do katalogu beneficjentów.</w:t>
      </w:r>
      <w:r>
        <w:br/>
        <w:t>10.4. Instytucje kultury i sportu – oznacza publiczne instytucje kultury i sportu.</w:t>
      </w:r>
      <w:r>
        <w:br/>
        <w:t>10.5. Niepubliczne zakłady opieki zdrowotnej – wymagany jest kontrakt z NFZ dla świadczeń w budynku, w którym realizowany jest projekt.</w:t>
      </w:r>
      <w:r>
        <w:br/>
        <w:t>10.6. Uzdrowiska - funkcjonujące w publicznym systemie opieki zdrowotnej (wymagany jest kontrakt z NFZ lub z innym publicznym płatnikiem dla świadczeń w budynku, którego dotyczy projekt).</w:t>
      </w:r>
      <w:r>
        <w:br/>
        <w:t>10.7. Uczelnie – tylko publiczne.</w:t>
      </w:r>
      <w:r>
        <w:br/>
        <w:t>10.8. Organizacja badawcze – tylko publiczne organizacje badawcze.</w:t>
      </w:r>
      <w:r>
        <w:br/>
        <w:t>10.9. Jednostki naukowe – tylko publiczne jednostki naukowe.</w:t>
      </w:r>
      <w:r>
        <w:br/>
        <w:t>10.10. Instytucje rynku pracy – tylko publiczne instytucje rynku pracy.</w:t>
      </w:r>
      <w:r>
        <w:br/>
      </w:r>
      <w:r>
        <w:br/>
        <w:t>Preferowane warunki wsparcia:</w:t>
      </w:r>
      <w:r>
        <w:br/>
      </w:r>
      <w:r>
        <w:br/>
        <w:t>1.</w:t>
      </w:r>
      <w:r>
        <w:tab/>
        <w:t>Projekty kompleksowe, obejmujące również magazyny energii na potrzeby OZE.</w:t>
      </w:r>
      <w:r>
        <w:br/>
      </w:r>
      <w:r>
        <w:br/>
        <w:t>2.</w:t>
      </w:r>
      <w:r>
        <w:tab/>
        <w:t xml:space="preserve">Realizacja projektów zlokalizowanych na (obszarach podregionów górniczych wchodzących w </w:t>
      </w:r>
      <w:r>
        <w:lastRenderedPageBreak/>
        <w:t>skład OSI) Obszarach Strategicznej Interwencji oraz na terenach poprzemysłowych, zdewastowanych, zdegradowanych.</w:t>
      </w:r>
      <w:r>
        <w:br/>
      </w:r>
      <w:r>
        <w:br/>
        <w:t>3.</w:t>
      </w:r>
      <w:r>
        <w:tab/>
        <w:t>Realizacja zielonych zamówień publicznych w oparciu o opracowane przez KE wspólne kryteria możliwe do stosowania w państwach członkowskich Unii.</w:t>
      </w:r>
      <w:r>
        <w:br/>
      </w:r>
      <w:r>
        <w:br/>
        <w:t>4.</w:t>
      </w:r>
      <w:r>
        <w:tab/>
        <w:t>Zastosowanie rozwiązania w zakresie obiegu cyrkularnego (w tym efektywności energetycznej i użycia energii z OZE), jak również elementy sprzyjające adaptacji do zmian klimatu (w szczególności zielona i niebieska infrastruktura) - w projektach, których będzie to zasadne i możliwe.</w:t>
      </w:r>
      <w:r>
        <w:br/>
      </w:r>
      <w:r>
        <w:br/>
        <w:t>5.</w:t>
      </w:r>
      <w:r>
        <w:tab/>
        <w:t>Realizacja przedsięwzięć polegających na wymianie doświadczeń i wiedzy, zwłaszcza z innymi regionami w transformacji jako kontynuacja inicjatywy Coal Regions in Transition oraz wykorzystano dobre praktyki wynikające z programów: Interreg, LIFE+, Region Morza Bałtyckiego oraz Europa Środkowa związanych z transformacją energetyczną, szczególnie realizowanych w regionach transgranicznych Czech (Kraj Morawskośląski) i Słowacji (Kraj Żyliński).</w:t>
      </w:r>
      <w:r>
        <w:br/>
      </w:r>
      <w:r>
        <w:br/>
        <w:t>6.</w:t>
      </w:r>
      <w:r w:rsidR="002D509E">
        <w:t xml:space="preserve"> </w:t>
      </w:r>
      <w:r>
        <w:t>Projekty realizujące założenia Nowego Europejskiego Bauhausu.</w:t>
      </w:r>
      <w:r>
        <w:br/>
      </w:r>
      <w:r>
        <w:br/>
        <w:t>7.</w:t>
      </w:r>
      <w:r w:rsidR="002D509E">
        <w:t xml:space="preserve"> </w:t>
      </w:r>
      <w:r>
        <w:t>Premiowane będą projekty, które mają istotny wkład w realizację jednego z sześciu celów środowiskowych określanych w rozporządzeniu (UE) 2020/852.</w:t>
      </w:r>
      <w:r>
        <w:br/>
      </w:r>
    </w:p>
    <w:p w14:paraId="02C51B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B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B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B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B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B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Decyzja Komisji (UE) 2025/2630 z dnia 16 grudnia 2025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i uchylająca decyzję 2012/21/UE (C/2025/8820),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B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B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17 kwietnia 2024 r. w sprawie udzielania pomocy de minimis w ramach regionalnych programów na lata 2021–2027 (Dz.U. 2024 poz. 598), Rozporządzenie Ministra Funduszy i Polityki Regionalnej z dnia 26 stycznia 2023 r. w sprawie udzielania regionalnej pomocy inwestycyjnej ze środków Funduszu na rzecz Sprawiedliwej Transformacji w ramach regionalnych programów na lata 2021-2027 (Dz.U. z 2024 poz. 1587), Rozporządzenie Ministra Funduszy i Polityki Regionalnej z dnia 28 lipca 2023 r. w sprawie udzielania pomocy szkoleniowej w zakresie celu polityki CP1 oraz celu szczegółowego Funduszu na rzecz Sprawiedliwej Transformacji w ramach regionalnych programów na lata 2021–2027 (Dz.U. 2023 poz. 1649),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1B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B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B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B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B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B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B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B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B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B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 ZIT</w:t>
      </w:r>
    </w:p>
    <w:p w14:paraId="02C51B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B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ochrony zdrowia, Organizacje społeczne i związki wyznaniowe, Partnerstwa, Przedsiębiorstwa realizujące cele publiczne, Służby publiczne, Zintegrowane Inwestycje Terytorialne (ZIT)</w:t>
      </w:r>
    </w:p>
    <w:p w14:paraId="02C51B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B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Instytucje kultury, Instytucje odpowiedzialne za gospodarkę wodną, Instytucje rynku pracy, Instytucje sportu, Jednostki naukowe, Jednostki organizacyjne działające w imieniu jednostek samorządu terytorialnego, Jednostki rządowe i samorządowe ochrony środowiska, Jednostki Samorządu Terytorialnego, Kościoły i związki wyznaniowe, Lasy Państwowe, parki narodowe i krajobrazowe, Niepubliczne zakłady opieki zdrowotnej, Organizacje badawcze, Organizacje pozarządowe, Partnerstwa Publiczno-Prywatne, Policja, straż pożarna i służby ratownicze, Prokuratura, Publiczne zakłady opieki zdrowotnej, Rządowe organizacje turystyczne, Spółki wodne, Uczelnie, Uzdrowiska, Wspólnoty energetyczne, w tym klastry energii i spółdzielnie energetyczne, Wspólnoty, spółdzielnie mieszkaniowe, TBS i SIM, Wymiar sprawiedliwości, Zintegrowane Inwestycje Terytorialne (ZIT)</w:t>
      </w:r>
    </w:p>
    <w:p w14:paraId="02C51B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B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czysta_energia, energetyka_rozproszona, energia_geotermalna, energia_wodna, klastry_energetyczne, magazyn_energii, odnawialne_źródła_energii, OZE, spółdzielnie_energetyczne, zielona_energia</w:t>
      </w:r>
    </w:p>
    <w:p w14:paraId="02C51B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C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1C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C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C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C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02C51C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02C51C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C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WLWK-PLRO237 - Liczba powstałych magazynów energii cieplnej</w:t>
      </w:r>
    </w:p>
    <w:p w14:paraId="02C51C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02C51C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C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1C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WLWK-PLTO006 - Liczba wspartych społeczności energetycznych działających w zakresie energii odnawialnej</w:t>
      </w:r>
    </w:p>
    <w:p w14:paraId="02C51C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02C51C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WLWK-PLRO034 - Liczba wybudowanych jednostek wytwarzania energii elektrycznej z OZE</w:t>
      </w:r>
    </w:p>
    <w:p w14:paraId="02C51C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02C51C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02C51C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1C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WLWK-RCO038 - Powierzchnia wspieranych zrekultywowanych gruntów</w:t>
      </w:r>
    </w:p>
    <w:p w14:paraId="02C51C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1C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C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WLWK-RCR052 - Grunty zrekultywowane wykorzystywane jako tereny zielone, pod budowę lokali socjalnych lub pod działalność gospodarczą lub inną</w:t>
      </w:r>
    </w:p>
    <w:p w14:paraId="02C51C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02C51C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02C51C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C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02C51C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C1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1" w:name="_Toc235079839"/>
      <w:r>
        <w:rPr>
          <w:rFonts w:ascii="Calibri" w:hAnsi="Calibri" w:cs="Calibri"/>
          <w:sz w:val="32"/>
        </w:rPr>
        <w:t>Działanie FESL.10.07 Rekultywacja terenów poprzemysłowych, zdewastowanych, zdegradowanych na cele środowiskowe</w:t>
      </w:r>
      <w:bookmarkEnd w:id="101"/>
    </w:p>
    <w:p w14:paraId="02C51C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C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C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C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40 634 294,00</w:t>
      </w:r>
    </w:p>
    <w:p w14:paraId="02C51C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C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36 357 000,00</w:t>
      </w:r>
    </w:p>
    <w:p w14:paraId="02C51C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C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073 - Rewaloryzacja obszarów przemysłowych i rekultywacja skażonych gruntów</w:t>
      </w:r>
    </w:p>
    <w:p w14:paraId="02C51C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C24" w14:textId="3FD2218C"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rsidR="002D509E">
        <w:t xml:space="preserve"> </w:t>
      </w:r>
      <w:r>
        <w:br/>
        <w:t xml:space="preserve">1. Niwelowanie skutków działalności przemysłowej, w tym górniczej na środowisko, poprawa </w:t>
      </w:r>
      <w:r>
        <w:lastRenderedPageBreak/>
        <w:t xml:space="preserve">wskaźników różnorodności biologicznej w terenach wykorzystanych w celach środowiskowych. </w:t>
      </w:r>
      <w:r>
        <w:br/>
      </w:r>
      <w:r>
        <w:br/>
        <w:t xml:space="preserve">Niwelowanie skutków działalności przemysłowej, w tym górniczej na środowisko poprzez wsparcie skoncentrowane na działaniach związanych z m.in.: </w:t>
      </w:r>
      <w:r>
        <w:br/>
      </w:r>
      <w:r w:rsidR="002D509E">
        <w:t xml:space="preserve"> </w:t>
      </w:r>
      <w:r>
        <w:t>remediacją,</w:t>
      </w:r>
      <w:r w:rsidR="002D509E">
        <w:t xml:space="preserve"> </w:t>
      </w:r>
      <w:r>
        <w:br/>
      </w:r>
      <w:r w:rsidR="002D509E">
        <w:t xml:space="preserve"> </w:t>
      </w:r>
      <w:r>
        <w:t>rekultywacją,</w:t>
      </w:r>
      <w:r w:rsidR="002D509E">
        <w:t xml:space="preserve"> </w:t>
      </w:r>
      <w:r>
        <w:br/>
      </w:r>
      <w:r w:rsidR="002D509E">
        <w:t xml:space="preserve"> </w:t>
      </w:r>
      <w:r>
        <w:t xml:space="preserve">naturalną sukcesją umożliwiającą włączenie terenów do ekosystemów, </w:t>
      </w:r>
      <w:r>
        <w:br/>
      </w:r>
      <w:r w:rsidR="002D509E">
        <w:t xml:space="preserve"> </w:t>
      </w:r>
      <w:r>
        <w:t>likwidacją deformacji powierzchni terenu,</w:t>
      </w:r>
      <w:r w:rsidR="002D509E">
        <w:t xml:space="preserve"> </w:t>
      </w:r>
      <w:r>
        <w:br/>
      </w:r>
      <w:r w:rsidR="002D509E">
        <w:t xml:space="preserve"> </w:t>
      </w:r>
      <w:r>
        <w:t>regeneracją, w tym m.in. usuwaniem roślinności inwazyjnej,</w:t>
      </w:r>
      <w:r w:rsidR="002D509E">
        <w:t xml:space="preserve"> </w:t>
      </w:r>
      <w:r>
        <w:br/>
      </w:r>
      <w:r w:rsidR="002D509E">
        <w:t xml:space="preserve"> </w:t>
      </w:r>
      <w:r>
        <w:t xml:space="preserve">renaturyzacją terenów poprzemysłowych, w tym w szczególności pogórniczych , </w:t>
      </w:r>
      <w:r>
        <w:br/>
      </w:r>
      <w:r w:rsidR="002D509E">
        <w:t xml:space="preserve"> </w:t>
      </w:r>
      <w:r>
        <w:t xml:space="preserve">usuwaniem zagrożenia ze strony niewłaściwie składowanych lub magazynowanych odpadów, w tym odpadów wydobywczych (np. hałd). </w:t>
      </w:r>
      <w:r>
        <w:br/>
        <w:t>Wsparciem objęta zostanie również niezbędna infrastruktura bezpośrednio związana z ww. procesami, a także zielona i błękitna infrastruktura.</w:t>
      </w:r>
      <w:r w:rsidR="002D509E">
        <w:t xml:space="preserve"> </w:t>
      </w:r>
      <w:r>
        <w:br/>
        <w:t>Ze względu na złożoność procesu dekontaminacji/regeneracji terenów poprzemysłowych (w tym tzw. „bomb ekologicznych”) możliwe będzie współfinansowanie, jako element projektu, prac przygotowawczych na rzecz tych procesów m.in.</w:t>
      </w:r>
      <w:r w:rsidR="002D509E">
        <w:t xml:space="preserve"> </w:t>
      </w:r>
      <w:r>
        <w:br/>
      </w:r>
      <w:r w:rsidR="002D509E">
        <w:t xml:space="preserve"> </w:t>
      </w:r>
      <w:r>
        <w:t>analiz jakościowych gleb, wody, powietrza,</w:t>
      </w:r>
      <w:r w:rsidR="002D509E">
        <w:t xml:space="preserve"> </w:t>
      </w:r>
      <w:r>
        <w:br/>
      </w:r>
      <w:r w:rsidR="002D509E">
        <w:t xml:space="preserve"> </w:t>
      </w:r>
      <w:r>
        <w:t>analiz rozprzestrzeniania się zanieczyszczeń wraz z analizami wpływu na środowisko,</w:t>
      </w:r>
      <w:r w:rsidR="002D509E">
        <w:t xml:space="preserve"> </w:t>
      </w:r>
      <w:r>
        <w:br/>
      </w:r>
      <w:r w:rsidR="002D509E">
        <w:t xml:space="preserve"> </w:t>
      </w:r>
      <w:r>
        <w:t>planów remediacji i neutralizacji odpadów, planów przeznaczenia i zagospodarowania terenu,</w:t>
      </w:r>
      <w:r w:rsidR="002D509E">
        <w:t xml:space="preserve"> </w:t>
      </w:r>
      <w:r>
        <w:br/>
      </w:r>
      <w:r w:rsidR="002D509E">
        <w:t xml:space="preserve"> </w:t>
      </w:r>
      <w:r>
        <w:t>konsultacji i wycen.</w:t>
      </w:r>
      <w:r w:rsidR="002D509E">
        <w:t xml:space="preserve"> </w:t>
      </w:r>
      <w:r>
        <w:br/>
        <w:t xml:space="preserve">Dopuszczone zostaną również inwestycje mające na celu wykorzystanie odpadów wydobywczych poprzez odzysk surowców, powtórne ich wykorzystanie w procesach produkcyjnych czy zagospodarowanie produktów ubocznych tego procesu. </w:t>
      </w:r>
      <w:r>
        <w:br/>
        <w:t xml:space="preserve">W przypadku projektu dopuszcza się sfinansowanie działań wynikających z mocy prawa dla usunięcia lub naprawy innych cech lub elementów szkodliwych dla ludzi i środowiska (np. odpadów, niewypałów, substancji promieniotwórczych, jakie nie mieszczą się w prawnym pojęciu remediacji), w tym monitorowania skażeń. </w:t>
      </w:r>
      <w:r>
        <w:br/>
        <w:t>Przywrócenie potencjału zdegradowanych terenów oraz zwiększenie spójności terytorialnej terenów oraz zagospodarowanie obiektów poprzemysłowych zdewastowanych, zdegradowanych (przywracanie wartości użytkowych i przyrodniczych) możliwe będzie poprzez ich adaptację na cele środowiskowe oraz uzupełniająco na cele gospodarcze i społeczne (jako niedominujący element projektu).</w:t>
      </w:r>
      <w:r>
        <w:br/>
      </w:r>
      <w:r>
        <w:br/>
        <w:t xml:space="preserve">Obligatoryjne warunki wsparcia </w:t>
      </w:r>
      <w:r>
        <w:br/>
      </w:r>
      <w:r w:rsidR="002D509E">
        <w:t xml:space="preserve"> </w:t>
      </w:r>
      <w:r>
        <w:t xml:space="preserve">Inwestycje związane z niwelowaniem skutków działalności przemysłowej, w tym górniczej na środowisko (m.in. remediacja, rekultywacja, regeneracja, renaturyzacja, dekontaminacja terenów poprzemysłowych oraz oczyszczenie zanieczyszczonych wód podziemnych i powierzchniowych) muszą uwzględniać zasadę "zanieczyszczający płaci" oraz regulacje dotyczące odpowiedzialności za szkody spowodowane ruchem zakładu górniczego. </w:t>
      </w:r>
      <w:r>
        <w:br/>
      </w:r>
      <w:r w:rsidR="002D509E">
        <w:t xml:space="preserve"> </w:t>
      </w:r>
      <w:r>
        <w:t>Wsparciem objęte zostaną projekty realizowane na obszarach transformacji obejmujących podregiony:</w:t>
      </w:r>
      <w:r w:rsidR="002D509E">
        <w:t xml:space="preserve"> </w:t>
      </w:r>
      <w:r>
        <w:br/>
      </w:r>
      <w:r w:rsidR="002D509E">
        <w:t xml:space="preserve"> </w:t>
      </w:r>
      <w:r>
        <w:t>katowicki,</w:t>
      </w:r>
      <w:r w:rsidR="002D509E">
        <w:t xml:space="preserve"> </w:t>
      </w:r>
      <w:r>
        <w:br/>
      </w:r>
      <w:r w:rsidR="002D509E">
        <w:t xml:space="preserve"> </w:t>
      </w:r>
      <w:r>
        <w:t>sosnowiecki,</w:t>
      </w:r>
      <w:r w:rsidR="002D509E">
        <w:t xml:space="preserve"> </w:t>
      </w:r>
      <w:r>
        <w:br/>
      </w:r>
      <w:r w:rsidR="002D509E">
        <w:lastRenderedPageBreak/>
        <w:t xml:space="preserve"> </w:t>
      </w:r>
      <w:r>
        <w:t>tyski,</w:t>
      </w:r>
      <w:r w:rsidR="002D509E">
        <w:t xml:space="preserve"> </w:t>
      </w:r>
      <w:r>
        <w:br/>
      </w:r>
      <w:r w:rsidR="002D509E">
        <w:t xml:space="preserve"> </w:t>
      </w:r>
      <w:r>
        <w:t>bytomski,</w:t>
      </w:r>
      <w:r w:rsidR="002D509E">
        <w:t xml:space="preserve"> </w:t>
      </w:r>
      <w:r>
        <w:br/>
      </w:r>
      <w:r w:rsidR="002D509E">
        <w:t xml:space="preserve"> </w:t>
      </w:r>
      <w:r>
        <w:t>gliwicki,</w:t>
      </w:r>
      <w:r w:rsidR="002D509E">
        <w:t xml:space="preserve"> </w:t>
      </w:r>
      <w:r>
        <w:br/>
      </w:r>
      <w:r w:rsidR="002D509E">
        <w:t xml:space="preserve"> </w:t>
      </w:r>
      <w:r>
        <w:t xml:space="preserve">rybnicki, </w:t>
      </w:r>
      <w:r>
        <w:br/>
      </w:r>
      <w:r w:rsidR="002D509E">
        <w:t xml:space="preserve"> </w:t>
      </w:r>
      <w:r>
        <w:t xml:space="preserve">bielski, </w:t>
      </w:r>
      <w:r>
        <w:br/>
        <w:t xml:space="preserve">zgodnie z zapisami Terytorialnego Planu Sprawiedliwej Transformacji. </w:t>
      </w:r>
      <w:r>
        <w:br/>
        <w:t>Działanie będzie realizowane z uwzględnieniem zasad horyzontalnych (zgodnie z art. 9 Rozporządzenia Parlamentu Europejskiego i Rady (UE) nr 2021/1060 z dnia 24 czerwca 2021 r.), a obowiązek ich stosowania wynika z Umowy Partnerstwa, programu oraz wytycznych. </w:t>
      </w:r>
      <w:r>
        <w:br/>
        <w:t>Przewiduje się wsparcie dla obszarów strategicznej interwencji o znaczeniu krajowym, wskazanych w Krajowej Strategii Rozwoju Regionalnego stąd pulę środków OSI dedykuje się dla: miast średnich tracących funkcje społeczno-gospodarcze, tj. Jastrzębie-Zdrój i Świętochłowice;</w:t>
      </w:r>
      <w:r>
        <w:br/>
        <w:t>obszarów zagrożonych trwałą marginalizacją, tj. Ujsoły.</w:t>
      </w:r>
      <w:r w:rsidR="002D509E">
        <w:t xml:space="preserve"> </w:t>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t xml:space="preserve">Projekt jest zgodny z zasadą deinstytucjonalizacji. </w:t>
      </w:r>
      <w:r>
        <w:br/>
      </w:r>
      <w:r>
        <w:br/>
        <w:t xml:space="preserve">Preferowane warunki wsparcia </w:t>
      </w:r>
      <w:r>
        <w:br/>
        <w:t xml:space="preserve">Preferowane będą projekty realizowane na obszarach gmin górniczych/pogórnicznych (OSI górnicze) </w:t>
      </w:r>
      <w:r>
        <w:br/>
        <w:t>Preferowane będą projekty, których celem jest publiczne udostępnienie zrekultywowanego terenu</w:t>
      </w:r>
      <w:r w:rsidR="002D509E">
        <w:t xml:space="preserve"> </w:t>
      </w:r>
      <w:r>
        <w:br/>
        <w:t xml:space="preserve">Preferowana będzie realizacja zielonych zamówień publicznych w oparciu o opracowane przez KE wspólne kryteria możliwe do stosowania w państwach członkowskich Unii. </w:t>
      </w:r>
      <w:r>
        <w:br/>
        <w:t xml:space="preserve">Przy realizacji inwestycji zalecane jest wykorzystanie dobrych praktyk w zakresie ochrony środowiska, w szczególności standardów ochrony drzew [Standardy Ochrony Drzew - Narodowy Fundusz Ochrony Środowiska i Gospodarki Wodnej - Portal Gov.pl (www.gov.pl)]. </w:t>
      </w:r>
      <w:r>
        <w:br/>
        <w:t>Premiowane będą projekty, które mają istotny wkład w realizację jednego z sześciu celów środowiskowych określanych w rozporządzeniu (UE) 2020/852.</w:t>
      </w:r>
      <w:r w:rsidR="002D509E">
        <w:t xml:space="preserve"> </w:t>
      </w:r>
      <w:r>
        <w:br/>
        <w:t>Premiowane będą projekty realizujące założenia Nowego Europejskiego Bauhausu. </w:t>
      </w:r>
      <w:r>
        <w:br/>
        <w:t>We wszystkich projektach, w których będzie to zasadne i możliwe będą musiały zostać zastosowane rozwiązania w zakresie obiegu cyrkularnego (w tym efektywności energetycznej i użycia energii ze źródeł odnawialnych) jak również elementy sprzyjające adaptacji do zmian klimatu.</w:t>
      </w:r>
      <w:r w:rsidR="002D509E">
        <w:t xml:space="preserve"> </w:t>
      </w:r>
      <w:r>
        <w:br/>
        <w:t xml:space="preserve">W ramach celu szczegółowego możliwa będzie realizacja przedsięwzięć polegających na wymianie doświadczeń i wiedzy, zwłaszcza z innymi regionami w transformacji jako kontynuacja inicjatywy Coal Regions in Transition. Ze względu na wspólny cel jaki został zidentyfikowany w TPST przewiduje się realizację projektów na terenie małopolski zachodniej, które dadzą efekt synergii z przedsięwzięciami realizowanymi w podregionach górniczych w województwie śląskim. W zakresie Funduszu na rzecz Sprawiedliwej Transformacji przewiduje się wsparcie komplementarnych przedsięwzięć, których celem jest zmniejszenie społeczno-gospodarczych kosztów transformacji w kierunku gospodarki neutralnej dla klimatu z programami realizowanymi na poziomie transgranicznym, przede wszystkim z partnerami z kraju Morawsko-Śląskiego. Identyfikuje się także komplementarne przedsięwzięcia realizowane z takich </w:t>
      </w:r>
      <w:r>
        <w:lastRenderedPageBreak/>
        <w:t>inicjatyw komisyjnych jak Horyzont Europa, Program LIFE, Fundusz Innowacyjny, Fundusz Modernizacyjny. Wspierane będą również inwestycje przyczyniające się do realizacji Strategii UE dla regionu Morza Bałtyckiego.</w:t>
      </w:r>
      <w:r w:rsidR="002D509E">
        <w:t xml:space="preserve"> </w:t>
      </w:r>
    </w:p>
    <w:p w14:paraId="02C51C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C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C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C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C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C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C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C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1C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C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C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C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C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C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1C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C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C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C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 ZIT</w:t>
      </w:r>
    </w:p>
    <w:p w14:paraId="02C51C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C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 Przedsiębiorstwa realizujące cele publiczne, Służby publiczne, Zintegrowane Inwestycje Terytorialne (ZIT)</w:t>
      </w:r>
    </w:p>
    <w:p w14:paraId="02C51C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C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Centra aktywności lokalnej, Duże przedsiębiorstwa, Instytucje odpowiedzialne za gospodarkę wodną, Jednostki organizacyjne działające w imieniu jednostek samorządu terytorialnego, Jednostki Samorządu Terytorialnego, MŚP, Organizacje badawcze, Organizacje pozarządowe, Podmioty ekonomii społecznej, Podmioty świadczące usługi publiczne w ramach realizacji obowiązków własnych jednostek samorządu terytorialnego, Podmioty zarządzające terenami inwestycyjnymi, Przedsiębiorstwa wodociągowo-kanalizacyjne, Spółki wodne, Wspólnoty, spółdzielnie mieszkaniowe, TBS i SIM, Zintegrowane Inwestycje Terytorialne (ZIT)</w:t>
      </w:r>
    </w:p>
    <w:p w14:paraId="02C51C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C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bioróżnorodność, ochrona_środowiska, odpady_przemysłowe, rekultywacja, sprawiedliwa_transformacja, środowisko, transformacja</w:t>
      </w:r>
    </w:p>
    <w:p w14:paraId="02C51C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C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C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C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C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C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WLWK-RCO034 - Dodatkowe zdolności w zakresie recyklingu odpadów</w:t>
      </w:r>
    </w:p>
    <w:p w14:paraId="02C51C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WLWK-PLRO171 - Liczba jednolitych części wód, w których realizacja projektu przyczyniła się do poprawy stanu/potencjału</w:t>
      </w:r>
    </w:p>
    <w:p w14:paraId="02C51C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C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WLWK-PLRO175 - Liczba opracowanych ekspertyz, ocen, analiz, koncepcji, studiów</w:t>
      </w:r>
    </w:p>
    <w:p w14:paraId="02C51C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C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WLWK-PLRO006 - Liczba przedsiębiorstw otrzymujących wsparcie w zakresie transformacji w kierunku zrównoważonego rozwoju</w:t>
      </w:r>
    </w:p>
    <w:p w14:paraId="02C51C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1C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02C51C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1C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1C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1C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WLWK-RCO005 - Nowe przedsiębiorstwa objęte wsparciem</w:t>
      </w:r>
    </w:p>
    <w:p w14:paraId="02C51C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WLWK-RCO007 - Organizacje badawcze uczestniczące we wspólnych projektach badawczych</w:t>
      </w:r>
    </w:p>
    <w:p w14:paraId="02C51C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WLWK-RCO038 - Powierzchnia wspieranych zrekultywowanych gruntów</w:t>
      </w:r>
    </w:p>
    <w:p w14:paraId="02C51C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02C51C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WLWK-RCO004 - Przedsiębiorstwa otrzymujące wsparcie niefinansowe</w:t>
      </w:r>
    </w:p>
    <w:p w14:paraId="02C51C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WLWK-RCO013 - Wartość usług, produktów i procesów cyfrowych opracowanych dla przedsiębiorstw</w:t>
      </w:r>
    </w:p>
    <w:p w14:paraId="02C51C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1C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02C51C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C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WLWK-RCR052 - Grunty zrekultywowane wykorzystywane jako tereny zielone, pod budowę lokali socjalnych lub pod działalność gospodarczą lub inną</w:t>
      </w:r>
    </w:p>
    <w:p w14:paraId="02C51C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WLWK-PLRR044 - Liczba inwazyjnych gatunków obcych, wobec których podjęto działania ograniczające ich negatywny wpływ</w:t>
      </w:r>
    </w:p>
    <w:p w14:paraId="02C51C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C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WLWK-RCR102 - Miejsca pracy dla naukowców utworzone we wspieranych jednostkach</w:t>
      </w:r>
    </w:p>
    <w:p w14:paraId="02C51C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1C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WLWK-RCR005 - MŚP wprowadzające innowacje wewnątrz przedsiębiorstwa</w:t>
      </w:r>
    </w:p>
    <w:p w14:paraId="02C51C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WLWK-RCR047 - Odpady poddane recyklingowi</w:t>
      </w:r>
    </w:p>
    <w:p w14:paraId="02C51C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WLWK-RCR048 - Odpady wykorzystywane jako surowce</w:t>
      </w:r>
    </w:p>
    <w:p w14:paraId="02C51C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1C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C60"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2" w:name="_Toc235079840"/>
      <w:r>
        <w:rPr>
          <w:rFonts w:ascii="Calibri" w:hAnsi="Calibri" w:cs="Calibri"/>
          <w:sz w:val="32"/>
        </w:rPr>
        <w:lastRenderedPageBreak/>
        <w:t>Działanie FESL.10.08 Poprawa stosunków wodnych na obszarze oddziaływania kopalń</w:t>
      </w:r>
      <w:bookmarkEnd w:id="102"/>
      <w:r>
        <w:rPr>
          <w:rFonts w:ascii="Calibri" w:hAnsi="Calibri" w:cs="Calibri"/>
          <w:sz w:val="32"/>
        </w:rPr>
        <w:t> </w:t>
      </w:r>
    </w:p>
    <w:p w14:paraId="02C51C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C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C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C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21 639 322,00</w:t>
      </w:r>
    </w:p>
    <w:p w14:paraId="02C51C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C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19 361 500,00</w:t>
      </w:r>
    </w:p>
    <w:p w14:paraId="02C51C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C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064 - Gospodarka wodna i ochrona zasobów wodnych (w tym gospodarowanie wodami w dorzeczu, konkretne działania w zakresie przystosowania się do zmian klimatu, ponowne użycie, ograniczanie wycieków)</w:t>
      </w:r>
    </w:p>
    <w:p w14:paraId="02C51C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C6A" w14:textId="7EE7E461"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Typ projektu </w:t>
      </w:r>
      <w:r>
        <w:br/>
        <w:t xml:space="preserve">1.Poprawa stosunków wodnych na obszarze oddziaływania kopalń </w:t>
      </w:r>
      <w:r>
        <w:br/>
      </w:r>
      <w:r>
        <w:br/>
        <w:t>W celu wzmocnienia odporności na zagrożenia związane z negatywnymi skutkami rozległych szkód górniczych, interwencja ukierunkowana zostanie na wsparcie na terenach pogórniczych efektywnego systemu zagospodarowania wodami, przyczyniającego się do przeciwdziałania podtopieniom i zalaniom, oraz oczyszczeniu zanieczyszczonych w wyniku eksploatacji górniczej wód podziemnych i powierzchniowych.</w:t>
      </w:r>
      <w:r w:rsidR="002D509E">
        <w:t xml:space="preserve"> </w:t>
      </w:r>
      <w:r>
        <w:br/>
        <w:t xml:space="preserve">W ramach działania wsparcie uzyskają inwestycje mające na celu m.in..: </w:t>
      </w:r>
      <w:r>
        <w:br/>
      </w:r>
      <w:r w:rsidR="002D509E">
        <w:t xml:space="preserve"> </w:t>
      </w:r>
      <w:r>
        <w:t>wspieranie retencjonowania wody, w tym małej retencji,</w:t>
      </w:r>
      <w:r w:rsidR="002D509E">
        <w:t xml:space="preserve"> </w:t>
      </w:r>
      <w:r>
        <w:br/>
      </w:r>
      <w:r w:rsidR="002D509E">
        <w:t xml:space="preserve"> </w:t>
      </w:r>
      <w:r>
        <w:t xml:space="preserve">działania mające na celu zatrzymania odpływu wód opadowych, </w:t>
      </w:r>
      <w:r>
        <w:br/>
      </w:r>
      <w:r w:rsidR="002D509E">
        <w:t xml:space="preserve"> </w:t>
      </w:r>
      <w:r>
        <w:t>przeciwdziałaniu zmniejszeniu ilości wody w źródłach, rzekach, potokach, zbiornikach i studniach,</w:t>
      </w:r>
      <w:r w:rsidR="002D509E">
        <w:t xml:space="preserve"> </w:t>
      </w:r>
      <w:r>
        <w:br/>
      </w:r>
      <w:r w:rsidR="002D509E">
        <w:t xml:space="preserve"> </w:t>
      </w:r>
      <w:r>
        <w:t>inwestycje z zakresu uzdatniania i zagospodarowania wód pokopalnianych,</w:t>
      </w:r>
      <w:r w:rsidR="002D509E">
        <w:t xml:space="preserve"> </w:t>
      </w:r>
      <w:r>
        <w:br/>
      </w:r>
      <w:r w:rsidR="002D509E">
        <w:t xml:space="preserve"> </w:t>
      </w:r>
      <w:r>
        <w:t xml:space="preserve">inwestycje w oczyszczenie zanieczyszczonych wód podziemnych i powierzchniowych w wyniku eksploatacji górniczej. </w:t>
      </w:r>
      <w:r>
        <w:br/>
        <w:t>Inwestycje kwalifikowane są wyłącznie w powiązaniu z szeroko rozumianą dekontaminacją i rekultywacją gruntów, dla odróżnienia od interwencji EFRR.</w:t>
      </w:r>
      <w:r w:rsidR="002D509E">
        <w:t xml:space="preserve"> </w:t>
      </w:r>
      <w:r>
        <w:br/>
      </w:r>
      <w:r>
        <w:br/>
        <w:t xml:space="preserve">Obligatoryjne warunki wsparcia </w:t>
      </w:r>
      <w:r>
        <w:br/>
      </w:r>
      <w:r w:rsidR="002D509E">
        <w:lastRenderedPageBreak/>
        <w:t xml:space="preserve"> </w:t>
      </w:r>
      <w:r>
        <w:t xml:space="preserve">Inwestycje związane z niwelowaniem skutków działalności przemysłowej, w tym górniczej na środowisko (m.in. remediacja, rekultywacja, regeneracja, renaturyzacja, dekontaminacja terenów poprzemysłowych oraz oczyszczenie zanieczyszczonych wód podziemnych i powierzchniowych) muszą uwzględniać zasadę "zanieczyszczający płaci" oraz regulacje dotyczące odpowiedzialności za szkody spowodowane ruchem zakładu górniczego. </w:t>
      </w:r>
      <w:r>
        <w:br/>
      </w:r>
      <w:r w:rsidR="002D509E">
        <w:t xml:space="preserve"> </w:t>
      </w:r>
      <w:r>
        <w:t>Wsparciem objęte zostaną projekty realizowane na obszarach transformacji obejmujących podregiony:</w:t>
      </w:r>
      <w:r w:rsidR="002D509E">
        <w:t xml:space="preserve"> </w:t>
      </w:r>
      <w:r>
        <w:br/>
      </w:r>
      <w:r w:rsidR="002D509E">
        <w:t xml:space="preserve"> </w:t>
      </w:r>
      <w:r>
        <w:t>katowicki,</w:t>
      </w:r>
      <w:r w:rsidR="002D509E">
        <w:t xml:space="preserve"> </w:t>
      </w:r>
      <w:r>
        <w:br/>
      </w:r>
      <w:r w:rsidR="002D509E">
        <w:t xml:space="preserve"> </w:t>
      </w:r>
      <w:r>
        <w:t>sosnowiecki,</w:t>
      </w:r>
      <w:r w:rsidR="002D509E">
        <w:t xml:space="preserve"> </w:t>
      </w:r>
      <w:r>
        <w:br/>
      </w:r>
      <w:r w:rsidR="002D509E">
        <w:t xml:space="preserve"> </w:t>
      </w:r>
      <w:r>
        <w:t>tyski,</w:t>
      </w:r>
      <w:r w:rsidR="002D509E">
        <w:t xml:space="preserve"> </w:t>
      </w:r>
      <w:r>
        <w:br/>
      </w:r>
      <w:r w:rsidR="002D509E">
        <w:t xml:space="preserve"> </w:t>
      </w:r>
      <w:r>
        <w:t>bytomski,</w:t>
      </w:r>
      <w:r w:rsidR="002D509E">
        <w:t xml:space="preserve"> </w:t>
      </w:r>
      <w:r>
        <w:br/>
      </w:r>
      <w:r w:rsidR="002D509E">
        <w:t xml:space="preserve"> </w:t>
      </w:r>
      <w:r>
        <w:t>gliwicki,</w:t>
      </w:r>
      <w:r w:rsidR="002D509E">
        <w:t xml:space="preserve"> </w:t>
      </w:r>
      <w:r>
        <w:br/>
      </w:r>
      <w:r w:rsidR="002D509E">
        <w:t xml:space="preserve"> </w:t>
      </w:r>
      <w:r>
        <w:t xml:space="preserve">rybnicki, </w:t>
      </w:r>
      <w:r>
        <w:br/>
      </w:r>
      <w:r w:rsidR="002D509E">
        <w:t xml:space="preserve"> </w:t>
      </w:r>
      <w:r>
        <w:t xml:space="preserve">bielski, </w:t>
      </w:r>
      <w:r>
        <w:br/>
        <w:t xml:space="preserve">zgodnie z zapisami Terytorialnego Planu Sprawiedliwej Transformacji. </w:t>
      </w:r>
      <w:r>
        <w:br/>
        <w:t>Nie jest możliwe wsparcie inwestycji mających na celu zaopatrzenie sieci wodociągowych</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 </w:t>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t xml:space="preserve">Projekt jest zgodny z zasadą deinstytucjonalizacji. </w:t>
      </w:r>
      <w:r>
        <w:br/>
      </w:r>
      <w:r>
        <w:br/>
        <w:t xml:space="preserve">Preferowane warunki wsparcia </w:t>
      </w:r>
      <w:r>
        <w:br/>
        <w:t xml:space="preserve">Preferowane będą projekty realizowane na obszarach gmin górniczych/pogórnicznych (OSI górnicze) </w:t>
      </w:r>
      <w:r>
        <w:br/>
        <w:t xml:space="preserve">Przy realizacji inwestycji zalecane jest wykorzystanie dobrych praktyk w zakresie ochrony środowiska, w szczególności standardów ochrony drzew [Standardy Ochrony Drzew - Narodowy Fundusz Ochrony Środowiska i Gospodarki Wodnej - Portal Gov.pl (www.gov.pl)]. </w:t>
      </w:r>
      <w:r>
        <w:br/>
        <w:t>Premiowane będą projekty, które mają istotny wkład w realizację jednego z sześciu celów środowiskowych określanych w rozporządzeniu (UE) 2020/852.</w:t>
      </w:r>
      <w:r w:rsidR="002D509E">
        <w:t xml:space="preserve"> </w:t>
      </w:r>
      <w:r>
        <w:br/>
        <w:t>Premiowane będą projekty realizujące założenia Nowego Europejskiego Bauhausu. </w:t>
      </w:r>
      <w:r>
        <w:br/>
        <w:t xml:space="preserve">Preferowana będzie również realizacja zielonych zamówień publicznych w oparciu o opracowane przez KE wspólne kryteria możliwe do stosowania w państwach członkowskich Unii. </w:t>
      </w:r>
      <w:r>
        <w:br/>
        <w:t>We wszystkich projektach, w których będzie to zasadne i możliwe będą musiały zostać zastosowane rozwiązania w zakresie obiegu cyrkularnego (w tym efektywności energetycznej i użycia energii ze źródeł odnawialnych) jak również elementy sprzyjające adaptacji do zmian klimatu.</w:t>
      </w:r>
      <w:r w:rsidR="002D509E">
        <w:t xml:space="preserve"> </w:t>
      </w:r>
      <w:r>
        <w:br/>
        <w:t xml:space="preserve">W ramach celu szczegółowego możliwa będzie realizacja przedsięwzięć polegających na wymianie doświadczeń i wiedzy, zwłaszcza z innymi regionami w transformacji jako kontynuacja inicjatywy Coal Regions in Transition. Ze względu na wspólny cel jaki został zidentyfikowany w TPST przewiduje się realizację projektów na terenie małopolski zachodniej, które dadzą efekt synergii z przedsięwzięciami realizowanymi w podregionach górniczych w województwie śląskim. W zakresie Funduszu Sprawiedliwej </w:t>
      </w:r>
      <w:r>
        <w:lastRenderedPageBreak/>
        <w:t>Transformacji przewiduje się wsparcie komplementarnych przedsięwzięć, których celem jest zmniejszenie społeczno-gospodarczych kosztów transformacji w kierunku gospodarki neutralnej dla klimatu z programami realizowanymi na poziomie transgranicznym, przede wszystkim z partnerami z kraju Morawsko-Śląskiego. Identyfikuje się także komplementarne przedsięwzięcia realizowane z takich inicjatyw komisyjnych jak Horyzont Europa, Program LIFE, Fundusz Innowacyjny, Fundusz Modernizacyjny. Wspierane będą również inwestycje przyczyniające się do realizacji Strategii UE dla regionu Morza Bałtyckiego.</w:t>
      </w:r>
      <w:r w:rsidR="002D509E">
        <w:t xml:space="preserve"> </w:t>
      </w:r>
    </w:p>
    <w:p w14:paraId="02C51C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C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C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C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C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C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C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C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C51C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C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C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02C51C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C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C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C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C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C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C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2C51C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C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Partnerstwa, Przedsiębiorstwa, Przedsiębiorstwa realizujące cele publiczne, Służby publiczne, Zintegrowane Inwestycje Terytorialne (ZIT)</w:t>
      </w:r>
    </w:p>
    <w:p w14:paraId="02C51C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C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odpowiedzialne za gospodarkę wodną, Jednostki organizacyjne działające w imieniu jednostek samorządu terytorialnego, Jednostki rządowe i samorządowe ochrony środowiska, Jednostki Samorządu Terytorialnego, MŚP, Organizacje badawcze, Organizacje pozarządowe, Partnerstwa Publiczno-Prywatne, Podmioty świadczące usługi publiczne w ramach realizacji obowiązków własnych jednostek samorządu terytorialnego, Podmioty zarządzające terenami inwestycyjnymi, Spółki wodne, Wspólnoty, spółdzielnie mieszkaniowe, TBS i SIM, Zintegrowane Inwestycje Terytorialne (ZIT)</w:t>
      </w:r>
    </w:p>
    <w:p w14:paraId="02C51C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C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bioróżnorodność, dekontaminacja, rekultywacja, transformacja, wody_gruntowe, zielona_infrastruktura, zrownoważony_rozwój</w:t>
      </w:r>
    </w:p>
    <w:p w14:paraId="02C51C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C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C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C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C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C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WLWK-PLRO171 - Liczba jednolitych części wód, w których realizacja projektu przyczyniła się do poprawy stanu/potencjału</w:t>
      </w:r>
    </w:p>
    <w:p w14:paraId="02C51C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C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WLWK-PLRO175 - Liczba opracowanych ekspertyz, ocen, analiz, koncepcji, studiów</w:t>
      </w:r>
    </w:p>
    <w:p w14:paraId="02C51C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WLWK-PLRO199 - Liczba projektów, w których sfinansowano koszty racjonalnych usprawnień dla osób z niepełnosprawnościami (EFRR/FST/FS)</w:t>
      </w:r>
    </w:p>
    <w:p w14:paraId="02C51C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02C51C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02C51C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1C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1C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1C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WLWK-RCO005 - Nowe przedsiębiorstwa objęte wsparciem</w:t>
      </w:r>
    </w:p>
    <w:p w14:paraId="02C51C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WLWK-RCO038 - Powierzchnia wspieranych zrekultywowanych gruntów</w:t>
      </w:r>
    </w:p>
    <w:p w14:paraId="02C51C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WLWK-PLRO174 - Powierzchnia zrekultywowanych jezior/sztucznych zbiorników</w:t>
      </w:r>
    </w:p>
    <w:p w14:paraId="02C51C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02C51C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WLWK-RCO013 - Wartość usług, produktów i procesów cyfrowych opracowanych dla przedsiębiorstw</w:t>
      </w:r>
    </w:p>
    <w:p w14:paraId="02C51C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1C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02C51C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C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WLWK-RCR052 - Grunty zrekultywowane wykorzystywane jako tereny zielone, pod budowę lokali socjalnych lub pod działalność gospodarczą lub inną</w:t>
      </w:r>
    </w:p>
    <w:p w14:paraId="02C51C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WLWK-PLRR044 - Liczba inwazyjnych gatunków obcych, wobec których podjęto działania ograniczające ich negatywny wpływ</w:t>
      </w:r>
    </w:p>
    <w:p w14:paraId="02C51C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C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WLWK-RCR047 - Odpady poddane recyklingowi</w:t>
      </w:r>
    </w:p>
    <w:p w14:paraId="02C51C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WLWK-RCR048 - Odpady wykorzystywane jako surowce</w:t>
      </w:r>
    </w:p>
    <w:p w14:paraId="02C51C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1C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CA0"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3" w:name="_Toc235079841"/>
      <w:r>
        <w:rPr>
          <w:rFonts w:ascii="Calibri" w:hAnsi="Calibri" w:cs="Calibri"/>
          <w:sz w:val="32"/>
        </w:rPr>
        <w:t>Działanie FESL.10.09 Ponowne wykorzystanie terenów poprzemysłowych, zdewastowanych, zdegradowanych na cele rozwojowe regionu</w:t>
      </w:r>
      <w:bookmarkEnd w:id="103"/>
    </w:p>
    <w:p w14:paraId="02C51C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C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FST.CP6.I - Umożliwienie regionom i ludności łagodzenia wpływających na społeczeństwo, zatrudnienie, gospodarkę i środowisko skutków transformacji w kierunku osiągnięcia celów Unii na rok 2030 w </w:t>
      </w:r>
      <w:r>
        <w:lastRenderedPageBreak/>
        <w:t>dziedzinie energii i klimatu oraz w kierunku neutralnej dla klimatu gospodarki Unii do roku 2050 w oparciu o porozumienie paryskie.</w:t>
      </w:r>
    </w:p>
    <w:p w14:paraId="02C51C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C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335 339 576,00</w:t>
      </w:r>
    </w:p>
    <w:p w14:paraId="02C51C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C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306 520 433,00</w:t>
      </w:r>
    </w:p>
    <w:p w14:paraId="02C51C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C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073 - Rewaloryzacja obszarów przemysłowych i rekultywacja skażonych gruntów</w:t>
      </w:r>
    </w:p>
    <w:p w14:paraId="02C51C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CAA" w14:textId="0356FEFB"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Działanie będzie realizowane poprzez tryb konkurencyjny, projekty w trybie niekonkurencyjnym oraz wykorzystanie Zintegrowanych Inwestycji Terytorialnych subregionów centralnego, zachodniego i południowego. Zapewniona zostanie alokacja dla projektów z gmin tracących funkcje społeczno-gospodarcze, wskazanych w Krajowej Strategii Rozwoju Regionalnego, tj. Rydułtowy. </w:t>
      </w:r>
      <w:r>
        <w:br/>
      </w:r>
      <w:r>
        <w:br/>
        <w:t>Wsparciem objęte zostaną inwestycje polegające na zagospodarowaniu terenów i obiektów na terenach poprzemysłowych, zdewastowanych i zdegradowanych na cele gospodarcze, środowiskowe, społeczne, edukacyjne. W celu wykorzystania endogenicznych potencjałów podregionów górniczych, możliwe będzie nadanie nowych funkcji terenom i obiektom poprzemysłowym również na takie cele jak kulturalne czy turystyczne, pod warunkiem wykazania realizacji co najmniej jednego z czterech ww. celów.</w:t>
      </w:r>
      <w:r>
        <w:br/>
      </w:r>
      <w:r>
        <w:br/>
        <w:t>Teren poprzemysłowy, zdewastowany, zdegradowany w ramach Priorytetu X Fundusze Europejskie na transformację FE SL 2021-2027, stanowi teren, który został poddany niekorzystnym dla ludzi lub środowiska przekształceniom lub zanieczyszczeniom, powodującym utratę albo ograniczenie wartości użytkowej gruntów i/lub obiektów w związku z realizowaną na nim lub oddziałującą na niego działalnością ludzką.</w:t>
      </w:r>
      <w:r>
        <w:br/>
      </w:r>
      <w:r>
        <w:br/>
        <w:t>Tereny takie to w szczególności:</w:t>
      </w:r>
      <w:r>
        <w:br/>
      </w:r>
      <w:r>
        <w:br/>
        <w:t>1) tereny poprzemysłowe, w tym pogórnicze, wskazane w bazie OPI TPP 2.0 i kolejnych aktualizacjach bazy;</w:t>
      </w:r>
      <w:r>
        <w:br/>
      </w:r>
      <w:r>
        <w:br/>
        <w:t>2) tereny, które przestały być miejscem działalności przemysłowej (m.in. wydobycie węgla kamiennego, brunatnego, torfu i łupków bitumicznych, działalność branż przemysłu charakteryzujących się wysoką intensywnością emisji gazów cieplarnianych, branż powiązanych z sektorem górnictwa) lub przestały pełnić funkcje pomocnicze dla tej działalności, np. magazynowo-składowe, socjalne lub transportowe, łącznie z obszarami niedokończonych inwestycji przemysłowych;</w:t>
      </w:r>
      <w:r>
        <w:br/>
      </w:r>
      <w:r>
        <w:lastRenderedPageBreak/>
        <w:br/>
        <w:t>3) tereny po zakończonej działalności przemysłowej, zaklasyfikowane obecnie lub uprzednio w ewidencji gruntów i budynków do terenów przemysłowych, kolejowych, wojskowych wraz z terenami, które przestały pełnić funkcje pomocnicze dla tych działalności;</w:t>
      </w:r>
      <w:r>
        <w:br/>
      </w:r>
      <w:r>
        <w:br/>
        <w:t>4) tereny niezurbanizowane, wymagające łagodzenia negatywnych skutków oddziałującej na nie w przeszłości bądź obecnie działalności przemysłowej. Będą to w szczególności zlikwidowane szyby, hałdy/składowiska, nieczynne osadniki, bocznice kolejowe, wyrobiska, tereny niestabilne z uwagi na wcześniejsze wydobycie bądź składowanie odpadów np. górniczych, tereny o zanieczyszczonym gruncie.</w:t>
      </w:r>
      <w:r>
        <w:br/>
        <w:t xml:space="preserve"> </w:t>
      </w:r>
      <w:r>
        <w:br/>
        <w:t>Jako teren poprzemysłowy nie zostaną uznane te tereny, które odzyskały już wartość użytkową (w tym zostały nadane im już nowe funkcje).</w:t>
      </w:r>
      <w:r>
        <w:br/>
        <w:t>Wsparcie skierowane będzie na działania związane z rekultywacją, remediacją, renaturyzacją, dekontaminacją oraz zagospodarowaniem terenów poprzemysłowych, w tym w szczególności pogórniczych, obiektów przemysłowych, zdewastowanych, zdegradowanych jak również ich adaptacją. Współfinansowane będą kompleksowe działania zarówno związane z rekultywacją jak i docelowym zagospodarowaniem terenu.</w:t>
      </w:r>
      <w:r>
        <w:br/>
      </w:r>
      <w:r>
        <w:br/>
        <w:t>Projekty mające na celu przygotowanie terenów inwestycyjnych są realizowane pod warunkiem niepowielania dostępnej infrastruktury, chyba, że limit dostępnej powierzchni został wyczerpany. Przed udzieleniem wsparcia, IZ FE SL będzie dokonywała oceny projektów, w celu weryfikacji osiągnięcia pełnego wykorzystania dostępnych powierzchni terenów inwestycyjnych, wspartych ze środków RPO WSL 2007-2013 oraz RPO WSL 2014-2020. Pełne wykorzystanie terenów inwestycyjnych oznacza wykorzystanie minimum 80% łącznej powierzchni terenów inwestycyjnych we wszystkich projektach wspartych ze środków RPO WSL 2007-2013 oraz RPO WSL 2014-2020.</w:t>
      </w:r>
      <w:r>
        <w:br/>
      </w:r>
      <w:r>
        <w:br/>
        <w:t>W przypadku sprzedaży/dzierżawy terenu inwestycyjnego należy dokonać udostępnienia go w drodze przetargu nieograniczonego.</w:t>
      </w:r>
      <w:r>
        <w:br/>
      </w:r>
      <w:r>
        <w:br/>
        <w:t>W ramach działania wyklucza się inwestycje na cele mieszkaniowe, w szczególności działalność deweloperską. Tworzenie mieszkań o najmie socjalnym, mieszkań treningowych i wspomaganych realizuje cel społeczny, a ich tworzenie i wykorzystywanie musi być zgodne z poniższymi zasadami i standardami:</w:t>
      </w:r>
      <w:r>
        <w:br/>
      </w:r>
      <w:r>
        <w:br/>
        <w:t xml:space="preserve">W przypadku mieszkań treningowych i wspomaganych – zgodnie ze standardami dotyczącymi tej formy pomocy wynikającymi z ustawy z dnia 12 marca 2004 r. o pomocy społecznej i aktów wykonawczych wydanych na podstawie tej ustawy; </w:t>
      </w:r>
      <w:r>
        <w:br/>
      </w:r>
      <w:r>
        <w:br/>
        <w:t xml:space="preserve">W przypadku mieszkań o najmie socjalnym – zgodnie z zapisami ustawy z dnia 21 czerwca 2001 r. o ochronie praw lokatorów, mieszkaniowym zasobie gminy i o zmianie Kodeksu cywilnego. </w:t>
      </w:r>
      <w:r>
        <w:br/>
      </w:r>
      <w:r>
        <w:br/>
        <w:t xml:space="preserve">Przedsięwzięcia te nie mogą przyczyniać się do segregacji przestrzennej grup marginalizowanych. </w:t>
      </w:r>
      <w:r>
        <w:lastRenderedPageBreak/>
        <w:t>Wsparte lokale nie powinny być zapewniane na obszarach odizolowanych od społeczności lokalnej i słabo skomunikowanych.</w:t>
      </w:r>
      <w:r>
        <w:br/>
      </w:r>
      <w:r>
        <w:br/>
        <w:t>Mieszkania treningowe i/lub mieszkania wspomagane nie mogą być zlokalizowane na nieruchomości, na której znajduje się placówka opieki instytucjonalnej, rozumiana zgodnie z definicją zawartą w Wytycznych dotyczących realizacji projektów z udziałem środków Europejskiego Funduszu Społecznego Plus w regionalnych programach na lata 2021–2027.</w:t>
      </w:r>
      <w:r>
        <w:br/>
      </w:r>
      <w:r>
        <w:br/>
        <w:t>Dopuszcza się finansowanie infrastruktury drogowej (w tym parkingów), jeżeli koszty związane z doprowadzeniem drogi do terenu poprzemysłowego/zdewastowanego/zdegradowanego nie przekraczają 15% kosztów kwalifikowanych i są niezbędnym elementem projektu. Drogi wewnętrzne i parkingi zlokalizowane na terenie poprzemysłowym/zdewastowanym/zdegradowanym mogą być kosztem kwalifikowalnym i nie wliczają się do tego limitu. Drogi publiczne na terenie poprzemysłowym/zdewastowanym/zdegradowanym wliczają się do ww. limitu.</w:t>
      </w:r>
      <w:r>
        <w:br/>
      </w:r>
      <w:r>
        <w:br/>
        <w:t xml:space="preserve">Wsparciem będzie objęta istniejąca infrastruktura, natomiast inwestycje w nowe obiekty będą dopuszczone tylko w wyjątkowych, uzasadnionych okolicznościach. </w:t>
      </w:r>
      <w:r>
        <w:br/>
      </w:r>
      <w:r>
        <w:br/>
        <w:t>Ze względu na zapisy art. 9 Rozporządzenia Parlamentu Europejskiego i Rady (UE) 2021/1056 z dnia 24 czerwca 2021 r. ustanawiającego Fundusz na rzecz Sprawiedliwej Transformacji z zakresu wsparcia wyłączone są inwestycje w zakresie produkcji, przetwarzania, transportu, dystrybucji, magazynowania lub spalania paliw kopalnych.</w:t>
      </w:r>
      <w:r>
        <w:br/>
      </w:r>
      <w:r>
        <w:br/>
        <w:t>W ramach celu szczegółowego możliwa będzie realizacja przedsięwzięć polegających na wymianie doświadczeń i wiedzy, zwłaszcza z innymi regionami w transformacji jako kontynuacja inicjatywy Coal Regions in Transition.</w:t>
      </w:r>
      <w:r w:rsidR="002D509E">
        <w:t xml:space="preserve"> </w:t>
      </w:r>
      <w:r>
        <w:br/>
      </w:r>
      <w:r>
        <w:br/>
        <w:t xml:space="preserve">Obligatoryjne warunki wsparcia: </w:t>
      </w:r>
      <w:r>
        <w:br/>
      </w:r>
      <w:r>
        <w:br/>
        <w:t xml:space="preserve">Wsparciem objęte zostaną projekty realizowane na obszarach transformacji obejmujących podregiony:   </w:t>
      </w:r>
      <w:r>
        <w:br/>
      </w:r>
      <w:r>
        <w:br/>
        <w:t xml:space="preserve">1. Katowicki,   </w:t>
      </w:r>
      <w:r>
        <w:br/>
        <w:t xml:space="preserve">2. Sosnowiecki,   </w:t>
      </w:r>
      <w:r>
        <w:br/>
        <w:t xml:space="preserve">3. Tyski,   </w:t>
      </w:r>
      <w:r>
        <w:br/>
        <w:t xml:space="preserve">4. Bytomski,   </w:t>
      </w:r>
      <w:r>
        <w:br/>
        <w:t xml:space="preserve">5. Gliwicki,   </w:t>
      </w:r>
      <w:r>
        <w:br/>
        <w:t xml:space="preserve">6. Rybnicki,  </w:t>
      </w:r>
      <w:r>
        <w:br/>
        <w:t xml:space="preserve">7. Bielski   </w:t>
      </w:r>
      <w:r>
        <w:br/>
      </w:r>
      <w:r>
        <w:br/>
        <w:t>zgodnie z zapisami Terytorialnego Planu Sprawiedliwej Transformacji Województwa Śląskiego 2030.</w:t>
      </w:r>
      <w:r>
        <w:br/>
      </w:r>
      <w:r>
        <w:br/>
        <w:t xml:space="preserve">Inwestycje muszą uwzględniać zasadę „zanieczyszczający płaci” oraz regulacje dotyczące </w:t>
      </w:r>
      <w:r>
        <w:lastRenderedPageBreak/>
        <w:t>odpowiedzialności za szkody spowodowane ruchem zakładu górniczego.</w:t>
      </w:r>
      <w:r>
        <w:br/>
      </w:r>
      <w:r>
        <w:br/>
        <w:t>Projekt jest zgodny z zasadą deinstytucjonalizacji.</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r>
      <w:r>
        <w:br/>
        <w:t>Wszystkie przedsięwzięcia powinny być realizowane w zgodzie z właściwymi przepisami prawa krajowego i unijnego, znajdującymi zastosowanie w odniesieniu do danego projektu.</w:t>
      </w:r>
      <w:r w:rsidR="002D509E">
        <w:t xml:space="preserve"> </w:t>
      </w:r>
      <w:r>
        <w:br/>
      </w:r>
      <w:r>
        <w:br/>
        <w:t>Preferowane warunki wsparcia:</w:t>
      </w:r>
      <w:r>
        <w:br/>
        <w:t>Premiowane będą projekty, które mają istotny wkład w realizację jednego z sześciu celów środowiskowych określanych w rozporządzeniu (UE) 2020/852.</w:t>
      </w:r>
      <w:r>
        <w:br/>
      </w:r>
      <w:r>
        <w:br/>
        <w:t>Rekomenduje się realizację zielonych zamówień publicznych w oparciu o opracowane przez KE wspólne kryteria możliwe do stosowania w państwach członkowskich Unii.</w:t>
      </w:r>
      <w:r>
        <w:br/>
      </w:r>
      <w:r>
        <w:br/>
        <w:t xml:space="preserve">W projektach, których będzie to zasadne i możliwe niezbędne jest zastosowane rozwiązania w zakresie obiegu cyrkularnego (w tym efektywności energetycznej i użycia energii z OZE), jak również elementy sprzyjające adaptacji do zmian klimatu (w szczególności zielona i niebieska infrastruktura).  </w:t>
      </w:r>
      <w:r>
        <w:br/>
      </w:r>
      <w:r>
        <w:br/>
        <w:t>Premiowane będą projekty realizujące założenia Nowego Europejskiego Bauhausu.</w:t>
      </w:r>
      <w:r>
        <w:br/>
        <w:t>Możliwe będzie realizowanie projektów partnerskich zgodnie z art. 39 oraz projektów hybrydowych zgodnie z art. 40 ustawy o zasadach realizacji zadań finansowanych ze środków europejskich w perspektywie finansowej 2021-2027.</w:t>
      </w:r>
      <w:r>
        <w:br/>
      </w:r>
      <w:r>
        <w:br/>
      </w:r>
      <w:r>
        <w:br/>
        <w:t>Maksymalny dopuszczalny poziom dofinansowania kosztów kwalifikowanych wynosi:</w:t>
      </w:r>
      <w:r>
        <w:br/>
        <w:t>- do 85% dla kosztów bezpośrednich i pośrednich lub zgodnie z zasadami udzielania pomocy publicznej/pomocy de minimis w projektach niekonkurencyjnych (85% środków UE, 0 % środków BP);</w:t>
      </w:r>
      <w:r>
        <w:br/>
        <w:t>- do 95 % dla kosztów bezpośrednich i pośrednich lub zgodnie z zasadami udzielania pomocy publicznej/pomocy de minimis w projektach konkurencyjnych w ramach mechanizmu ZIT i OSI (85% środków UE, 10% środków BP, BP wykorzystuje się na zwiększenie poziomu dofinansowania do 95%);</w:t>
      </w:r>
      <w:r>
        <w:br/>
        <w:t>- do 85% dla kosztów bezpośrednich i pośrednich lub zgodnie z zasadami udzielania pomocy publicznej/pomocy de minimis w projektach konkurencyjnych poza mechanizmami terytorialnymi (środki UE 75%, środki BP 10%).</w:t>
      </w:r>
    </w:p>
    <w:p w14:paraId="02C51C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UE w projekcie</w:t>
      </w:r>
    </w:p>
    <w:p w14:paraId="02C51C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C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C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C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C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2026/562 z dnia 16 marca 2026 r. uznające niektóre kategorie pomocy w sektorach transportu kolejowego, transportu wodnego śródlądowego i transportu multimodalnego za zgodne z rynkiem wewnętrznym w zastosowaniu art. 93, 107 i 108 Traktatu o funkcjonowaniu Unii Europejskiej (Dz. Urz. UE L z 30.03.2026), Rozporządzenie Komisji (UE) nr 651/2014 z dnia 17 czerwca 2014 r. uznające niektóre rodzaje pomocy za zgodne z rynkiem wewnętrznym w zastosowaniu art. 107 i 108 Traktatu (Dz. Urz. UE L 187 z 26.06.2014, str. 1, z późn. zm.)</w:t>
      </w:r>
    </w:p>
    <w:p w14:paraId="02C51C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C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minimis w ramach regionalnych programów na lata 2021–2027 (Dz.U. 2024 poz. 598), Rozporządzenie Ministra Funduszy i Polityki Regionalnej z dnia 26 stycznia 2023 r. w sprawie udzielania regionalnej pomocy inwestycyjnej ze środków Funduszu na rzecz Sprawiedliwej Transformacji w ramach regionalnych programów na lata 2021-2027 (Dz.U. z 2024 poz. 1587)</w:t>
      </w:r>
    </w:p>
    <w:p w14:paraId="02C51C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C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C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C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C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C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1C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C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2C51C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C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 ZIT</w:t>
      </w:r>
    </w:p>
    <w:p w14:paraId="02C51C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C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Partnerstwa, Przedsiębiorstwa realizujące cele publiczne, Służby publiczne, Zintegrowane Inwestycje Terytorialne (ZIT)</w:t>
      </w:r>
    </w:p>
    <w:p w14:paraId="02C51C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C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Centra aktywności lokalnej, Instytucje kultury, Jednostki organizacyjne działające w imieniu jednostek samorządu terytorialnego, Jednostki Samorządu Terytorialnego, Kościoły i związki wyznaniowe, Organizacje pozarządowe, Ośrodki kształcenia dorosłych, Partnerstwa Publiczno-Prywatne, Podmioty ekonomii społecznej, Podmioty świadczące usługi publiczne w ramach realizacji obowiązków własnych jednostek samorządu terytorialnego, Podmioty zarządzające terenami inwestycyjnymi, Przedsiębiorstwa kolejowych przewozów pasażerskich, Zintegrowane Inwestycje Terytorialne (ZIT)</w:t>
      </w:r>
    </w:p>
    <w:p w14:paraId="02C51C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C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nowe_funkcje_terenów_zdegradowanych, sprawiedliwa_transformacja, tereny_pogórnicze, tereny_poprzemysłowe, tereny_zdegradowane</w:t>
      </w:r>
    </w:p>
    <w:p w14:paraId="02C51C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C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C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C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C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C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C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C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02C51C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02C51C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02C51C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02C51C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1C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WLWK-RCO038 - Powierzchnia wspieranych zrekultywowanych gruntów</w:t>
      </w:r>
    </w:p>
    <w:p w14:paraId="02C51C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1C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02C51C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PROG-FESLO-18 - Liczba wspartych obiektów infrastruktury (innych niż budynki mieszkalne) zlokalizowanych na obszarze objętym transformacją</w:t>
      </w:r>
    </w:p>
    <w:p w14:paraId="02C51C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C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WLWK-RCR052 - Grunty zrekultywowane wykorzystywane jako tereny zielone, pod budowę lokali socjalnych lub pod działalność gospodarczą lub inną</w:t>
      </w:r>
    </w:p>
    <w:p w14:paraId="02C51C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C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1C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CD8"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4" w:name="_Toc235079842"/>
      <w:r>
        <w:rPr>
          <w:rFonts w:ascii="Calibri" w:hAnsi="Calibri" w:cs="Calibri"/>
          <w:sz w:val="32"/>
        </w:rPr>
        <w:t>Działanie FESL.10.10 Wsparcie planowania transformacji</w:t>
      </w:r>
      <w:bookmarkEnd w:id="104"/>
    </w:p>
    <w:p w14:paraId="02C51C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C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C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C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1C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C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02C51C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C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073 - Rewaloryzacja obszarów przemysłowych i rekultywacja skażonych gruntów</w:t>
      </w:r>
    </w:p>
    <w:p w14:paraId="02C51C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C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możliwe będzie: </w:t>
      </w:r>
      <w:r>
        <w:br/>
      </w:r>
      <w:r>
        <w:br/>
        <w:t xml:space="preserve">a. opracowanie dokumentów wspomagających proces ponownego wykorzystania terenów poprzemysłowych, zdewastowanych, zdegradowanych, m.in. koncepcji zagospodarowania terenów i obiektów pogórniczych oraz dokumentacji planistycznej, techniczno-ekonomicznej, geodezyjnych pomiarów terenowych, ekspertyz. </w:t>
      </w:r>
      <w:r>
        <w:br/>
      </w:r>
      <w:r>
        <w:br/>
      </w:r>
      <w:r>
        <w:lastRenderedPageBreak/>
        <w:t xml:space="preserve">b. wyznaczenie docelowego przeznaczenia i zagospodarowania danego terenu: wyceny szacunkowe, Miejscowe Plany Rewitalizacji tworzone dla obszarów poprzemysłowych, koncepcje architektoniczno-urbanistyczne, wstępne studia wykonalności, oceny techniczno-ekonomiczne, analizy ryzyka. </w:t>
      </w:r>
      <w:r>
        <w:br/>
      </w:r>
      <w:r>
        <w:br/>
        <w:t>Dopuszczone będzie także wsparcie eksperckie i prawne w zakresie przygotowania kompleksowych projektów.</w:t>
      </w:r>
      <w:r>
        <w:br/>
      </w:r>
      <w:r>
        <w:br/>
        <w:t>Obligatoryjne warunki wsparcia:</w:t>
      </w:r>
      <w:r>
        <w:br/>
      </w:r>
      <w:r>
        <w:br/>
        <w:t xml:space="preserve">Wsparciem objęte zostaną projekty realizowane na obszarach transformacji obejmujących podregiony:   </w:t>
      </w:r>
      <w:r>
        <w:br/>
        <w:t xml:space="preserve">1. katowicki,   </w:t>
      </w:r>
      <w:r>
        <w:br/>
        <w:t xml:space="preserve">2. sosnowiecki,   </w:t>
      </w:r>
      <w:r>
        <w:br/>
        <w:t xml:space="preserve">3. tyski,   </w:t>
      </w:r>
      <w:r>
        <w:br/>
        <w:t xml:space="preserve">4. bytomski,   </w:t>
      </w:r>
      <w:r>
        <w:br/>
        <w:t xml:space="preserve">5. gliwicki,   </w:t>
      </w:r>
      <w:r>
        <w:br/>
        <w:t xml:space="preserve">6. rybnicki,  </w:t>
      </w:r>
      <w:r>
        <w:br/>
        <w:t xml:space="preserve">7. bielski   </w:t>
      </w:r>
      <w:r>
        <w:br/>
        <w:t>zgodnie z zapisami Terytorialnego Planu Sprawiedliwej Transformacji Województwa Śląskiego 2030.</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Preferowane warunki wsparcia:</w:t>
      </w:r>
      <w:r>
        <w:br/>
      </w:r>
      <w:r>
        <w:br/>
        <w:t>Preferowana będzie również realizacja zielonych zamówień publicznych w oparciu o opracowane przez KE wspólne kryteria możliwe do stosowania w państwach członkowskich Unii.</w:t>
      </w:r>
      <w:r>
        <w:br/>
      </w:r>
      <w:r>
        <w:br/>
        <w:t>W ramach celu szczegółowego możliwa będzie realizacja przedsięwzięć polegających na wymianie doświadczeń i wiedzy, zwłaszcza z innymi regionami w transformacji jako kontynuacja inicjatywy Coal Regions in Transition.</w:t>
      </w:r>
    </w:p>
    <w:p w14:paraId="02C51C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C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C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C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C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C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C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C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 Rozporządzenie Ministra Funduszy i Polityki Regionalnej z dnia 26 stycznia 2023 r. w sprawie udzielania regionalnej pomocy inwestycyjnej ze środków Funduszu na rzecz Sprawiedliwej Transformacji w ramach regionalnych programów na lata 2021-2027 (Dz.U. z 2024 poz. 1587)</w:t>
      </w:r>
    </w:p>
    <w:p w14:paraId="02C51C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C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C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C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C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C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C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C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C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C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C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C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Partnerstwa, Służby publiczne</w:t>
      </w:r>
    </w:p>
    <w:p w14:paraId="02C51C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C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Instytucje kultury, Jednostki Samorządu Terytorialnego, Organizacje pozarządowe, Partnerstwa Publiczno-Prywatne, Uczelnie</w:t>
      </w:r>
    </w:p>
    <w:p w14:paraId="02C51C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C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dokumenty_planistyczne, sprawiedliwa_transformacja</w:t>
      </w:r>
    </w:p>
    <w:p w14:paraId="02C51C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C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C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02C51C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WLWK-PLTO005 - Liczba opracowanych dokumentów dot. terenów poprzemysłowych, zdewastowanych, zdegradowanych</w:t>
      </w:r>
    </w:p>
    <w:p w14:paraId="02C51C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D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WLWK-RCR052 - Grunty zrekultywowane wykorzystywane jako tereny zielone, pod budowę lokali socjalnych lub pod działalność gospodarczą lub inną</w:t>
      </w:r>
    </w:p>
    <w:p w14:paraId="02C51D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D02"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5" w:name="_Toc235079843"/>
      <w:r>
        <w:rPr>
          <w:rFonts w:ascii="Calibri" w:hAnsi="Calibri" w:cs="Calibri"/>
          <w:sz w:val="32"/>
        </w:rPr>
        <w:t>Działanie FESL.10.11 Systemowe zarządzanie terenami poprzemysłowymi</w:t>
      </w:r>
      <w:bookmarkEnd w:id="105"/>
    </w:p>
    <w:p w14:paraId="02C51D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D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D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D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3 150 000,00</w:t>
      </w:r>
    </w:p>
    <w:p w14:paraId="02C51D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D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3 150 000,00</w:t>
      </w:r>
    </w:p>
    <w:p w14:paraId="02C51D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D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073 - Rewaloryzacja obszarów przemysłowych i rekultywacja skażonych gruntów</w:t>
      </w:r>
    </w:p>
    <w:p w14:paraId="02C51D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D0C" w14:textId="34FC7FD5"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związku z transformacją regionu planowane jest przeznaczenie środków na systemowe zarządzanie terenami poprzemysłowymi, w ramach typu projektu: </w:t>
      </w:r>
      <w:r>
        <w:br/>
        <w:t>1.</w:t>
      </w:r>
      <w:r>
        <w:tab/>
        <w:t>Infrastruktura monitorowania procesów transformacji.</w:t>
      </w:r>
      <w:r>
        <w:br/>
        <w:t xml:space="preserve">Działanie ma na celu monitorowanie zmian związanych z transformacją regionu, w tym w szczególności zmian zachodzących na terenach poprzemysłowych oraz działania wspomagające proces ich ponownego wykorzystania, a także - nadawanie nowych funkcji istniejącym obiektom pogórniczym. </w:t>
      </w:r>
      <w:r>
        <w:br/>
        <w:t>W ramach działania wspierane będą przedsięwzięcia priorytetowe wskazane w Kontrakcie Programowym dla Województwa Śląskiego.</w:t>
      </w:r>
      <w:r>
        <w:br/>
        <w:t xml:space="preserve">Elementem każdej inwestycji wspieranej w niniejszym działaniu, mogą być rozwiązania podnoszące poziom cyberbezpieczeństwa danego podmiotu, w szczególności - nabycie niezbędnych narzędzi informatycznych wraz z oprogramowaniem oraz podniesieniem kompetencji pracowników. Dopuszcza </w:t>
      </w:r>
      <w:r>
        <w:lastRenderedPageBreak/>
        <w:t>się także przeprowadzenie audytu bezpieczeństwa w jednostce objętej wsparciem.</w:t>
      </w:r>
      <w:r>
        <w:br/>
        <w:t>Uzupełniająco, w ramach każdego z realizowanych projektów możliwe jest także uzyskanie wsparcia przeznaczonego na szkolenia (związane z projektem) podnoszące kompetencje cyfrowe pracowników.</w:t>
      </w:r>
      <w:r>
        <w:br/>
        <w:t>W ramach projektów możliwe są także działania proekologiczne, w szczególności zmierzające do redukcji emisji gazów cieplarnianych, zastosowania rozwiązań ograniczających zapotrzebowanie na energię elektryczną oraz wykorzystania OZE.</w:t>
      </w:r>
      <w:r>
        <w:br/>
        <w:t>Rekomenduje się realizację zielonych zamówień publicznych w oparciu o wspólne kryteria UE.</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Warunki wsparcia:</w:t>
      </w:r>
      <w:r w:rsidR="002D509E">
        <w:t xml:space="preserve"> </w:t>
      </w:r>
      <w:r>
        <w:br/>
        <w:t>•</w:t>
      </w:r>
      <w:r>
        <w:tab/>
        <w:t>Wsparciem objęte zostaną projekty realizowane na obszarach transformacji obejmujących przede wszystkim podregiony:</w:t>
      </w:r>
      <w:r w:rsidR="002D509E">
        <w:t xml:space="preserve"> </w:t>
      </w:r>
      <w:r>
        <w:br/>
        <w:t>1. katowicki,</w:t>
      </w:r>
      <w:r w:rsidR="002D509E">
        <w:t xml:space="preserve"> </w:t>
      </w:r>
      <w:r>
        <w:br/>
        <w:t>2. sosnowiecki,</w:t>
      </w:r>
      <w:r w:rsidR="002D509E">
        <w:t xml:space="preserve"> </w:t>
      </w:r>
      <w:r>
        <w:br/>
        <w:t>3. tyski,</w:t>
      </w:r>
      <w:r w:rsidR="002D509E">
        <w:t xml:space="preserve"> </w:t>
      </w:r>
      <w:r>
        <w:br/>
        <w:t>4. bytomski,</w:t>
      </w:r>
      <w:r w:rsidR="002D509E">
        <w:t xml:space="preserve"> </w:t>
      </w:r>
      <w:r>
        <w:br/>
        <w:t>5. gliwicki,</w:t>
      </w:r>
      <w:r w:rsidR="002D509E">
        <w:t xml:space="preserve"> </w:t>
      </w:r>
      <w:r>
        <w:br/>
        <w:t>6. rybnicki,</w:t>
      </w:r>
      <w:r w:rsidR="002D509E">
        <w:t xml:space="preserve"> </w:t>
      </w:r>
      <w:r>
        <w:br/>
        <w:t>7. bielski</w:t>
      </w:r>
      <w:r w:rsidR="002D509E">
        <w:t xml:space="preserve"> </w:t>
      </w:r>
      <w:r>
        <w:br/>
        <w:t>zgodnie z zapisami Terytorialnego Planu Sprawiedliwej Transformacji Województwa Śląskiego 2030.</w:t>
      </w:r>
      <w:r>
        <w:br/>
        <w:t>•</w:t>
      </w:r>
      <w:r>
        <w:tab/>
        <w:t>Projekty, w zakresie, w jakim obejmują udostępnianie danych, muszą być zgodne z Dyrektywą Parlamentu Europejskiego i Rady 2019/1024 z dnia 20 czerwca 2019 w sprawie otwartych danych i ponownego wykorzystywania informacji sektora publicznego.</w:t>
      </w:r>
      <w:r>
        <w:br/>
        <w:t>•</w:t>
      </w:r>
      <w:r>
        <w:tab/>
        <w:t>Wnioskodawca na etapie przygotowania projektu obowiązkowo musi zidentyfikować grupę potencjalnych użytkowników oraz dokonać analizy potrzeb a także przeprowadzić analizę wariantową.</w:t>
      </w:r>
      <w:r>
        <w:br/>
        <w:t>•</w:t>
      </w:r>
      <w:r>
        <w:tab/>
        <w:t>Nowo powstające projekty powinny móc współpracować (np. w zakresie wymiany danych) z innymi (np. krajowymi) przedsięwzięciami związanymi z monitorowaniem procesów na terenach poprzemysłowych.</w:t>
      </w:r>
      <w:r>
        <w:br/>
        <w:t>•</w:t>
      </w:r>
      <w:r>
        <w:tab/>
        <w:t>Wnioskodawca publikujący treści internetowe zobowiązany jest zapewnić ich zgodność z wytycznymi dotyczącymi dostępności treści internetowych (WCAG) oraz ze standardem cyfrowym. W produktach będących efektem realizacji projektów wymagana będzie dostępność cyfrowa na poziomie co najmniej standardu WCAG 2.1. na poziomie AA.</w:t>
      </w:r>
    </w:p>
    <w:p w14:paraId="02C51D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D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D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D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95</w:t>
      </w:r>
    </w:p>
    <w:p w14:paraId="02C51D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D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D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D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D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D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D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D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D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D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D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D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D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D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D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D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Służby publiczne</w:t>
      </w:r>
    </w:p>
    <w:p w14:paraId="02C51D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D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Organizacje badawcze</w:t>
      </w:r>
    </w:p>
    <w:p w14:paraId="02C51D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D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dane, IT, regiony_górnicze, systemy_informatyczne, teleinformatyka, tereny_pogórnicze, TIK</w:t>
      </w:r>
    </w:p>
    <w:p w14:paraId="02C51D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D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D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D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D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WLWK-PLRO010 - Liczba podmiotów, które udostępniły informacje sektora publicznego/dane prywatne on-line</w:t>
      </w:r>
    </w:p>
    <w:p w14:paraId="02C51D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WLWK-PLRO014 - Liczba podmiotów wspartych w zakresie cyberbezpieczeństwa</w:t>
      </w:r>
    </w:p>
    <w:p w14:paraId="02C51D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WLWK-PLRO008 - Liczba podmiotów wspartych w zakresie rozwoju usług, produktów i procesów cyfrowych</w:t>
      </w:r>
    </w:p>
    <w:p w14:paraId="02C51D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D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WLWK-PLRO160 - Liczba rozwiązań wykorzystujących informacje sektora publicznego/dane prywatne</w:t>
      </w:r>
    </w:p>
    <w:p w14:paraId="02C51D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WLWK-PLTO004 - Powierzchnia terenów górniczych/pogórniczych przekształconych na nowe funkcje </w:t>
      </w:r>
    </w:p>
    <w:p w14:paraId="02C51D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PROG-FESLO-14 - Liczba istniejących baz danych zintegrowanych w ramach centrum</w:t>
      </w:r>
    </w:p>
    <w:p w14:paraId="02C51D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PROG-FESLO-15 - Liczba świadczonych usług w Data Center, w tym nowych (innowacyjnych)</w:t>
      </w:r>
    </w:p>
    <w:p w14:paraId="02C51D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PROG-FESLO-16 - Powierzchnia zinwentaryzowanych terenów poprzemysłowych</w:t>
      </w:r>
    </w:p>
    <w:p w14:paraId="02C51D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D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D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1D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WLWK-RCR011 - Użytkownicy nowych i zmodernizowanych publicznych usług, produktów i procesów cyfrowych</w:t>
      </w:r>
    </w:p>
    <w:p w14:paraId="02C51D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D37"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6" w:name="_Toc235079844"/>
      <w:r>
        <w:rPr>
          <w:rFonts w:ascii="Calibri" w:hAnsi="Calibri" w:cs="Calibri"/>
          <w:sz w:val="32"/>
        </w:rPr>
        <w:t>Działanie FESL.10.12 Poprawa mobilności mieszkańców regionu i spójności transportowej podregionów górniczych</w:t>
      </w:r>
      <w:bookmarkEnd w:id="106"/>
    </w:p>
    <w:p w14:paraId="02C51D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D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D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D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30 000 000,00</w:t>
      </w:r>
    </w:p>
    <w:p w14:paraId="02C51D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D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30 000 000,00</w:t>
      </w:r>
    </w:p>
    <w:p w14:paraId="02C51D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D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081 - Infrastruktura czystego transportu miejskiego, 082 - Tabor czystego transportu miejskiego, 083 - Infrastruktura rowerowa, 086 - Infrastruktura paliw alternatywnych, 172 - Finansowanie krzyżowe w ramach EFRR (wsparcie dla działań typowych dla EFS+ koniecznych do wdrożenia części operacji objętej EFRR i bezpośrednio z nią związanych)</w:t>
      </w:r>
    </w:p>
    <w:p w14:paraId="02C51D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lastRenderedPageBreak/>
        <w:t>Opis działania</w:t>
      </w:r>
    </w:p>
    <w:p w14:paraId="02C51D41" w14:textId="656594D5"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 w ramach działania zostanie skierowane na zadania związane z poprawą mobilności mieszkańców, szczególnie poprzez zapewnienie bardziej zintegrowanego i wysokiej jakości transportu publicznego, lepsze powiązanie transportowe z centrami rozwoju podregionów górniczych oraz promocję ekologicznego i zeroemisyjnego transportu, co przyczyni się do zwiększenia dostępności do lokalnych rynków pracy dla grup objętych i obciążonych procesem transformacji regionu.</w:t>
      </w:r>
      <w:r w:rsidR="002D509E">
        <w:t xml:space="preserve"> </w:t>
      </w:r>
      <w:r>
        <w:br/>
      </w:r>
      <w:r>
        <w:br/>
        <w:t xml:space="preserve">Do wsparcia kwalifikują się inwestycje polegające w szczególności na:  </w:t>
      </w:r>
      <w:r>
        <w:br/>
        <w:t xml:space="preserve">- Zakupie taboru zeroemisyjnego. </w:t>
      </w:r>
      <w:r>
        <w:br/>
        <w:t xml:space="preserve">- Tworzeniu infrastruktury na rzecz transportu publicznego zeroemisyjnego (ładowarki dla pojazdów elektrycznych i dystrybutory dla wodorowych). </w:t>
      </w:r>
      <w:r>
        <w:br/>
        <w:t xml:space="preserve">- Rozwoju infrastruktury rowerowej. </w:t>
      </w:r>
      <w:r>
        <w:br/>
        <w:t xml:space="preserve">- Tworzeniu infrastruktury liniowej i punktowej transportu publicznego (centra przesiadkowe, przystanki, wiaty, zatoki autobusowe, buspasy, miejsca przesiadkowe, parkingi Bike&amp;Ride i Park&amp;Ride). </w:t>
      </w:r>
      <w:r>
        <w:br/>
      </w:r>
      <w:r>
        <w:br/>
        <w:t xml:space="preserve">Projekty mogą obejmować infrastrukturę drogową, która w 100% będzie użytkowana w transporcie publicznym. Nie będzie kwalifikowana infrastruktura wykorzystywana przez pojazdy samochodowe. W ramach centrum przesiadkowego, tylko drogi wykorzystywane w pełni przez pojazdy transportu miejskiego będą kwalifikowalne w 100%. Pozostały zakres dróg, np. włączający centrum przesiadkowe do istniejącego układu drogowego, będzie niekwalifikowalny. Przebudowa istniejącego układu ulicznego, wynikającego z budowy buspasów jest kwalifikowalna do wsparcia jedynie w zakresie obejmującym buspas. Pozostały zakres przebudowywanej drogi stanowi koszt niekwalifikowalny projektu.  </w:t>
      </w:r>
      <w:r>
        <w:br/>
        <w:t>W ramach projektów dopuszczalne będą wydatki poniesione na podniesienie poziomu cyberbezpieczeństwa, zgodnie ze standardami wyznaczonymi w ramach krajowego systemu cyberbezpieczeństwa, bez powielania funkcji inwestycji prowadzonych z poziomu krajowego.</w:t>
      </w:r>
      <w:r>
        <w:br/>
      </w:r>
      <w:r>
        <w:br/>
        <w:t xml:space="preserve">1. Obligatoryjne i inne warunki wsparcia:    </w:t>
      </w:r>
      <w:r>
        <w:br/>
        <w:t xml:space="preserve">A) Wynikanie z Planów Zrównoważonej Mobilności Miejskiej (SUMP) lub innych dokumentów strategicznych [1] :   </w:t>
      </w:r>
      <w:r>
        <w:br/>
        <w:t xml:space="preserve">- Inwestycje na obszarze miasta wojewódzkiego będą musiały wynikać z SUMP obejmującego MOF  </w:t>
      </w:r>
      <w:r>
        <w:br/>
        <w:t xml:space="preserve">- W innych miastach powyżej 100 000 mieszkańców oraz w gminach położonych w ich MOF przyznanie dofinansowania projektom będzie uzależnione od przyjęcia:    </w:t>
      </w:r>
      <w:r>
        <w:br/>
      </w:r>
      <w:r w:rsidR="002D509E">
        <w:t xml:space="preserve"> </w:t>
      </w:r>
      <w:r>
        <w:t xml:space="preserve">- SUMP lub </w:t>
      </w:r>
      <w:r>
        <w:br/>
      </w:r>
      <w:r w:rsidR="002D509E">
        <w:t xml:space="preserve"> </w:t>
      </w:r>
      <w:r>
        <w:t xml:space="preserve">- innego dokumentu z zakresu planowania transportu miejskiego oraz zobowiązania, że SUMP zostanie przyjęty nie później niż do 31.12.2025 r.     </w:t>
      </w:r>
      <w:r>
        <w:br/>
        <w:t xml:space="preserve">- W miastach poniżej 100 000 mieszkańców przyznanie dofinansowania będzie uzależnione od przyjęcia odpowiedniego dokumentu z zakresu planowania transportu miejskiego (np. odpowiednio dostosowanej strategii ZIT), przy czym preferowany będzie SUMP.   </w:t>
      </w:r>
      <w:r>
        <w:br/>
        <w:t xml:space="preserve">B) Wsparciem może zostać objęty jedynie zakup taboru autobusowego o zerowej emisji spalin (tj. tabor elektryczny lub wodorowy). </w:t>
      </w:r>
      <w:r>
        <w:br/>
      </w:r>
      <w:r>
        <w:lastRenderedPageBreak/>
        <w:t>C) Lokalizacja obiektów „park&amp;ride” będzie musiała zapewnić integrację z publicznym transportem zbiorowym. W miastach pow. 50 tys. mieszkańców wsparcie dla tych obiektów będzie możliwe pod warunkiem ich zlokalizowania poza obszarem funkcjonalnego śródmieścia, wyznaczonym w studium uwarunkowań i kierunków zagospodarowania przestrzennego/ Planie zagospodarowania przestrzennego.</w:t>
      </w:r>
      <w:r>
        <w:br/>
        <w:t xml:space="preserve">Liczbę ludności należy określić na podstawie danych z GUS, dostępnych na moment ogłoszenia naboru na stronie Internetowej https://stat.gov.pl/obszary-tematyczne/ludnosc/. Dopuszczona zostanie również możliwość wskazania innego alternatywnego i rzetelnego źródła o danych demograficznych, wskazanych w rejestrze mieszkańców, o którym mowa w ustawie z dnia 24 września 2010 r. o ewidencji ludności (Dz. U. z 2022 r., poz. 1191 z późn. zm.), obowiązującego na moment rozpoczęcia naboru wniosków. </w:t>
      </w:r>
      <w:r>
        <w:br/>
        <w:t>D) Drogi rowerowe, ciągi pieszo-rowerowe muszą być realizowane zgodnie ze standardami budowy dróg rowerowych, obowiązującymi w woj. śląskim (wskazanymi w Regionalnej Polityce Rowerowej Województwa Śląskiego).</w:t>
      </w:r>
      <w:r>
        <w:br/>
        <w:t xml:space="preserve">Jeżeli zakres projektu obejmuje infrastrukturę rowerową realizowaną w ramach sieci regionalnych tras rowerowych, potwierdzeniem zgodności projektu z założeniami określonymi w dokumencie pn.: Regionalna Polityka Rowerowa Województwa Śląskiego wraz z planem sieci regionalnych tras rowerowych będzie pozytywna opinia właściwego Departamentu/ podmiotu Urzędu Marszałkowskiego Województwa Śląskiego odpowiedzialnego za Regionalną Politykę Rowerową Województwa Śląskiego, którą Wnioskodawca zobowiązany będzie dołączyć do wniosku o dofinansowanie.   </w:t>
      </w:r>
      <w:r>
        <w:br/>
        <w:t xml:space="preserve">E) Inwestycje muszą mieć charakter lokalny i oddziaływać na obszary transformacji górniczej, zgodnie z zapisami Terytorialnego Planu Sprawiedliwej Transformacji Województwa Śląskiego 2030. </w:t>
      </w:r>
      <w:r>
        <w:br/>
        <w:t xml:space="preserve">F) Inwestycje w zrównoważoną mobilność miejską będą musiały być zgodne z właściwymi Programami ochrony powietrza oraz Planami na rzecz zrównoważonej energii i klimatu (SEAP/ SECAP) – jeżeli dane miasto przyjęło takie plany [2].  </w:t>
      </w:r>
      <w:r>
        <w:br/>
        <w:t>G) Przy projektowaniu i wdrażaniu projektów należy obligatoryjnie podjąć działania na rzecz wyrównywania szans oraz przeciwdziałania dyskryminacji w dostępie do infrastruktury i usług transportu miejskiego, zgodnie ze standardem: transportowym (dla infrastruktury komunikacji publicznej oraz taboru miejskiego), architektonicznym (m.in. odnośnie do stanowisk postojowych, przemieszczania się oraz oznaczeń wewnątrz i na zewnątrz budynków) oraz cyfrowym (odnośnie do sprzętu informatycznego szczególnego przeznaczenia, np. biletomatów), w taki sposób, by projekt odpowiadał na specyficzne potrzeby wszystkich potencjalnych użytkowników, w szczególności: OzN, osób starszych, o ograniczonych możliwościach poruszania się, kobiet, opiekunów z dziećmi czy z osobami potrzebującymi wsparcia w codziennym funkcjonowaniu. Pozytywny wpływ na zasadę dostępności będzie kryterium dostępu warunkującym otrzymanie dofinansowania.</w:t>
      </w:r>
      <w:r w:rsidR="002D509E">
        <w:t xml:space="preserve"> </w:t>
      </w:r>
      <w:r>
        <w:br/>
        <w:t>H) Inwestycje będą również uwzględniać kwestie bezpieczeństwa, w szczególności na rzecz niezmotoryzowanych uczestników ruchu (w tym kobiet).</w:t>
      </w:r>
      <w:r w:rsidR="002D509E">
        <w:t xml:space="preserve"> </w:t>
      </w:r>
      <w:r>
        <w:br/>
        <w:t xml:space="preserve">I) W projektach zaplanowane zostaną działania zapewniające powszechnie dostępne, przejrzyste i aktualizowane przez kompetentne instytucje informacje w językach obcych (ang./ukr.). </w:t>
      </w:r>
      <w:r>
        <w:br/>
        <w:t xml:space="preserve">J) Wspierane będą wyłącznie działania zgodne z zasadą DNSH (art. 17 rozp. (UE) 2020/852 ), dla której przeprowadzono ocenę zgodności, ujętą w strategicznej ocenie oddziaływania na środowisko programu FE SL 2021-2027. </w:t>
      </w:r>
      <w:r>
        <w:br/>
        <w:t xml:space="preserve">K) Tam gdzie to zasadne i możliwe, niezbędne jest zastosowane rozwiązań w zakresie obiegu </w:t>
      </w:r>
      <w:r>
        <w:lastRenderedPageBreak/>
        <w:t>cyrkularnego (w tym efektywności energetycznej i OZE), jak również elementów sprzyjających adaptacji do zmian klimatu (zielona i niebieska infrastruktura).</w:t>
      </w:r>
      <w:r w:rsidR="002D509E">
        <w:t xml:space="preserve"> </w:t>
      </w:r>
      <w:r>
        <w:br/>
        <w:t xml:space="preserve">L) Możliwe będzie realizowanie projektów hybrydowych zgodnie z art. 40 ustawy o zasadach realizacji zadań finansowanych ze środków europejskich w perspektywie finansowej 2021-2027.  </w:t>
      </w:r>
      <w:r>
        <w:br/>
      </w:r>
      <w:r>
        <w:br/>
        <w:t xml:space="preserve">2. Zalecane rozwiązania do ujęcia w projektach: </w:t>
      </w:r>
      <w:r>
        <w:br/>
        <w:t xml:space="preserve">A) Zalecane jest realizowanie założeń Nowego Europejskiego Bauhausu.  </w:t>
      </w:r>
      <w:r>
        <w:br/>
        <w:t xml:space="preserve">B) Zalecane jest ujęcie w projekcie elementów błękitno-zielonej infrastruktury, w celu m.in. zapobiegania występowania wysp ciepła oraz odpowiedniego retencjonowania wody na obszarach zurbanizowanych </w:t>
      </w:r>
      <w:r>
        <w:br/>
        <w:t xml:space="preserve">C) Przy realizacji inwestycji zalecane jest wykorzystanie dobrych praktyk w zakresie ochrony środowiska, w szczególności standardów ochrony drzew.  [Standardy Ochrony Drzew - Narodowy Fundusz Ochrony Środowiska i Gospodarki Wodnej: -  https://www.gov.pl/web/nfosigw/standardy-ochrony-drzew, http://drzewa.org.pl/standardy].  </w:t>
      </w:r>
      <w:r>
        <w:br/>
        <w:t xml:space="preserve">D) Zalecana będzie realizacja zielonych zamówień publicznych w oparciu o opracowane przez KE kryteria.   </w:t>
      </w:r>
      <w:r>
        <w:br/>
      </w:r>
      <w:r>
        <w:br/>
        <w:t>[1] Spójność projektu z SUMP lub innymi planami mobilności miejskiej należy rozpatrywać przez brak sprzeczności z postanowieniami obowiązującego na moment ogłoszenia naboru wniosków planu oraz poprzez niepodważanie przez projekt celów tego planu i niekolidowanie projektu z innymi działaniami podejmowanymi na jego podstawie (nie jest natomiast wymagane bezpośrednie wskazanie danej inwestycji w planie).</w:t>
      </w:r>
      <w:r>
        <w:br/>
      </w:r>
      <w:r>
        <w:br/>
        <w:t>[2] Spójność z przedmiotowymi dokumentami należy rozpatrywać przez brak sprzeczności z postanowieniami obowiązującego na moment ogłoszenia naboru wniosków programu i planu oraz poprzez niepodważanie przez projekt celów tych dokumentów i niekolidowanie projektu z innymi działaniami podejmowanymi na ich podstawie (nie jest natomiast wymagane bezpośrednie wskazanie danej inwestycji we wskazanych dokumentach).</w:t>
      </w:r>
    </w:p>
    <w:p w14:paraId="02C51D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D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D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D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D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D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w:t>
      </w:r>
      <w:r>
        <w:lastRenderedPageBreak/>
        <w:t>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D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D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14:paraId="02C51D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D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D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D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D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D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D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D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D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D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D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D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1D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D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Jednostki Samorządu Terytorialnego</w:t>
      </w:r>
    </w:p>
    <w:p w14:paraId="02C51D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D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autobusy, autobusy_elektryczne, bike_and_ride, czysty_transport, edukacja_rowerowa, inteligentny_transport, park_and_ride, ścieżki_rowerowe, tabor_ekologiczny, transport</w:t>
      </w:r>
    </w:p>
    <w:p w14:paraId="02C51D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D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D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D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WLWK-PLRO094 - Liczba miejsc postojowych dla osób z niepełnosprawnościami w wybudowanych, przebudowanych lub doposażonych obiektach „parkuj i jedź”</w:t>
      </w:r>
    </w:p>
    <w:p w14:paraId="02C51D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D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D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WLWK-PLRO099 - Liczba przebudowanych i rozbudowanych zintegrowanych węzłów przesiadkowych</w:t>
      </w:r>
    </w:p>
    <w:p w14:paraId="02C51D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WLWK-PLRO092 - Liczba przebudowanych obiektów „parkuj i jedź"</w:t>
      </w:r>
    </w:p>
    <w:p w14:paraId="02C51D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WLWK-PLRO096 - Liczba stanowisk postojowych w wybudowanych obiektach „Bike&amp;Ride”</w:t>
      </w:r>
    </w:p>
    <w:p w14:paraId="02C51D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WLWK-PLRO184 - Liczba wspartych publicznych systemów wypożyczania rowerów</w:t>
      </w:r>
    </w:p>
    <w:p w14:paraId="02C51D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WLWK-PLRO095 - Liczba wybudowanych obiektów „Bike&amp;Ride”</w:t>
      </w:r>
    </w:p>
    <w:p w14:paraId="02C51D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WLWK-PLRO091 - Liczba wybudowanych obiektów „parkuj i jedź"</w:t>
      </w:r>
    </w:p>
    <w:p w14:paraId="02C51D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WLWK-PLRO098 - Liczba wybudowanych zintegrowanych węzłów przesiadkowych</w:t>
      </w:r>
    </w:p>
    <w:p w14:paraId="02C51D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WLWK-PLRO088 - Liczba zakupionych jednostek taboru autobusowego w publicznym transporcie zbiorowym komunikacji miejskiej i metropolitarnej</w:t>
      </w:r>
    </w:p>
    <w:p w14:paraId="02C51D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WLWK-PLRO089 - Liczba zakupionych jednostek taboru trolejbusowego w publicznym transporcie zbiorowym komunikacji miejskiej i metropolitarnej</w:t>
      </w:r>
    </w:p>
    <w:p w14:paraId="02C51D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WLWK-RCO060 - Miasta z nowymi lub zmodernizowanymi cyfrowymi systemami transportu miejskiego</w:t>
      </w:r>
    </w:p>
    <w:p w14:paraId="02C51D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02C51D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02C51D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D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WLWK-PLRR047 - Liczba ludności korzystającej z nowych lub zmodernizowanych cyfrowych systemów transportu miejskiego</w:t>
      </w:r>
    </w:p>
    <w:p w14:paraId="02C51D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D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WLWK-RCR064 - Roczna liczba użytkowników infrastruktury rowerowej</w:t>
      </w:r>
    </w:p>
    <w:p w14:paraId="02C51D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WLWK-RCR062 - Roczna liczba użytkowników nowego lub zmodernizowanego transportu publicznego</w:t>
      </w:r>
    </w:p>
    <w:p w14:paraId="02C51D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WLWK-RCR029 - Szacowana emisja gazów cieplarnianych</w:t>
      </w:r>
    </w:p>
    <w:p w14:paraId="02C51D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D73"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7" w:name="_Toc235079845"/>
      <w:r>
        <w:rPr>
          <w:rFonts w:ascii="Calibri" w:hAnsi="Calibri" w:cs="Calibri"/>
          <w:sz w:val="32"/>
        </w:rPr>
        <w:t>Działanie FESL.10.13 Infrastruktura szkolnictwa wyższego na potrzeby transformacji</w:t>
      </w:r>
      <w:bookmarkEnd w:id="107"/>
    </w:p>
    <w:p w14:paraId="02C51D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D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D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D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117 200 393,00</w:t>
      </w:r>
    </w:p>
    <w:p w14:paraId="02C51D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D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115 100 393,00</w:t>
      </w:r>
    </w:p>
    <w:p w14:paraId="02C51D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D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123 - Infrastruktura na potrzeby szkolnictwa wyższego</w:t>
      </w:r>
    </w:p>
    <w:p w14:paraId="02C51D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D7D" w14:textId="5AB840E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Przebudowa, budowa, remont pomieszczeń w obiektach infrastruktury szkolnictwa wyższego wraz z zapewnieniem wyposażenia oraz dostosowaniem infrastruktury do edukacji włączającej. </w:t>
      </w:r>
      <w:r>
        <w:br/>
        <w:t xml:space="preserve">W działaniu poprzez budowę rozumie się oprócz budowy, także rozbudowę, odbudowę, nadbudowę. </w:t>
      </w:r>
      <w:r>
        <w:br/>
        <w:t xml:space="preserve">Interwencja w zakresie wsparcia szkolnictwa wyższego będzie bazować na wykorzystaniu obecnej infrastruktury. Natomiast budowa nowych obiektów budowlanych będzie możliwa w uzasadnionych przypadkach. </w:t>
      </w:r>
      <w:r>
        <w:br/>
        <w:t xml:space="preserve">Celem głównym jest stworzenie warunków do rozwoju społeczeństwa o wysokich kwalifikacjach zawodowych poszukiwanych na rynku pracy. Poprawa warunków kształcenia na poziomie wyższym ma służyć m.in. wsparciu inwestycji podnoszących jakość obiektów dydaktycznych wraz z ich wyposażeniem. </w:t>
      </w:r>
      <w:r>
        <w:br/>
        <w:t xml:space="preserve">Diagnozę dotyczącą szkolnictwa wyższego zawiera Regionalna Polityka Rozwoju Edukacji Województwa Śląskiego. Ponadto w ramach szkolnictwa wyższego należy uwzględnić konieczność dopasowania kierunku kształcenia do specjalizacji regionalnych (Program Rozwoju Technologii Województwa Śląskiego na lata 2019-2030) lub inteligentnych specjalizacji (Regionalna Strategia Innowacji Województwa Śląskiego 2030- Inteligentne Śląskie). </w:t>
      </w:r>
      <w:r>
        <w:br/>
        <w:t xml:space="preserve">W ramach działania Wnioskodawca zobowiązany jest do dostosowania infrastruktury oraz zakupu specjalistycznego sprzętu zwiększających poziom włączenia społecznego w ramach projektu. </w:t>
      </w:r>
      <w:r>
        <w:br/>
        <w:t xml:space="preserve">Wsparcie jest przeznaczone dla infrastruktury służącej do praktycznej nauki zawodu. Kosztami kwalifikowalnymi nie będą koszty pomieszczeń ogólnodydaktycznych. Wyjątkiem będą pomieszczenia, w </w:t>
      </w:r>
      <w:r>
        <w:lastRenderedPageBreak/>
        <w:t>których zaplanowano działania na rzecz edukacji włączającej.</w:t>
      </w:r>
      <w:r>
        <w:br/>
        <w:t>W ramach celu szczegółowego możliwa będzie realizacja przedsięwzięć polegających na wymianie doświadczeń i wiedzy, zwłaszcza z innymi regionami w transformacji jako kontynuacja inicjatywy Coal Regions in Transition.</w:t>
      </w:r>
      <w:r w:rsidR="002D509E">
        <w:t xml:space="preserve"> </w:t>
      </w:r>
      <w:r>
        <w:br/>
        <w:t xml:space="preserve">Ponadto działania międzyregionalne, transgraniczne i transnarodowe wzmocnią potencjał inwestycji. </w:t>
      </w:r>
      <w:r>
        <w:br/>
        <w:t>Obligatoryjne warunki wsparcia:</w:t>
      </w:r>
      <w:r>
        <w:br/>
        <w:t>Wsparciem objęte zostaną projekty realizowane na obszarach transformacji obejmujących podregiony:  </w:t>
      </w:r>
      <w:r w:rsidR="002D509E">
        <w:t xml:space="preserve"> </w:t>
      </w:r>
      <w:r>
        <w:br/>
        <w:t>1. Katowicki,  </w:t>
      </w:r>
      <w:r w:rsidR="002D509E">
        <w:t xml:space="preserve"> </w:t>
      </w:r>
      <w:r>
        <w:br/>
        <w:t>2. Sosnowiecki,  </w:t>
      </w:r>
      <w:r w:rsidR="002D509E">
        <w:t xml:space="preserve"> </w:t>
      </w:r>
      <w:r>
        <w:br/>
        <w:t>3. Tyski,  </w:t>
      </w:r>
      <w:r w:rsidR="002D509E">
        <w:t xml:space="preserve"> </w:t>
      </w:r>
      <w:r>
        <w:br/>
        <w:t>4. Bytomski,  </w:t>
      </w:r>
      <w:r w:rsidR="002D509E">
        <w:t xml:space="preserve"> </w:t>
      </w:r>
      <w:r>
        <w:br/>
        <w:t>5. Gliwicki,  </w:t>
      </w:r>
      <w:r w:rsidR="002D509E">
        <w:t xml:space="preserve"> </w:t>
      </w:r>
      <w:r>
        <w:br/>
        <w:t>6. Rybnicki, </w:t>
      </w:r>
      <w:r w:rsidR="002D509E">
        <w:t xml:space="preserve"> </w:t>
      </w:r>
      <w:r>
        <w:br/>
        <w:t>7. Bielski  </w:t>
      </w:r>
      <w:r w:rsidR="002D509E">
        <w:t xml:space="preserve"> </w:t>
      </w:r>
      <w:r>
        <w:br/>
        <w:t>zgodnie z zapisami Terytorialnego Planu Sprawiedliwej Transformacji Województwa Śląskiego 2030.</w:t>
      </w:r>
      <w:r w:rsidR="002D509E">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t xml:space="preserve">Preferowane warunki wsparcia: </w:t>
      </w:r>
      <w:r>
        <w:br/>
        <w:t>Premiowane będą projekty, które mają istotny wkład w realizację jednego z sześciu celów środowiskowych określanych w rozporządzeniu (UE) 2020/852.</w:t>
      </w:r>
      <w:r>
        <w:br/>
        <w:t>W stosownych przypadkach wsparcie realizowane będzie ze szczególnym uwzględnieniem założeń Nowego Europejskiego Bauhausu.</w:t>
      </w:r>
      <w:r>
        <w:br/>
        <w:t>Rekomenduje się realizację zielonych zamówień publicznych w oparciu o opracowane przez KE wspólne kryteria możliwe do stosowania w państwach członkowskich Unii.</w:t>
      </w:r>
    </w:p>
    <w:p w14:paraId="02C51D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D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D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D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D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D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D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D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minimis w ramach regionalnych programów na lata 2021–2027 (Dz.U. 2024 poz. 598), Rozporządzenie Ministra Funduszy i Polityki Regionalnej z dnia 26 stycznia 2023 r. w sprawie udzielania regionalnej pomocy inwestycyjnej ze środków Funduszu na rzecz Sprawiedliwej Transformacji w ramach regionalnych programów na lata 2021-2027 (Dz.U. z 2024 poz. 1587), Rozporządzenie Ministra Funduszy i Polityki Regionalnej z dnia 29 listopada 2022 r. w sprawie udzielania pomocy inwestycyjnej na infrastrukturę badawczą w ramach regionalnych programów na lata 2021–2027 (Dz.U. 2022 poz. 2498)</w:t>
      </w:r>
    </w:p>
    <w:p w14:paraId="02C51D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D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D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D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D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D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D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D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D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D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D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D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w:t>
      </w:r>
    </w:p>
    <w:p w14:paraId="02C51D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D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Jednostki naukowe, Jednostki Samorządu Terytorialnego, Organizacje badawcze, Uczelnie</w:t>
      </w:r>
    </w:p>
    <w:p w14:paraId="02C51D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D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infrastruktura, infrastruktura_szkolnictwa_wyższego, sprawiedliwa_transformacja, szkoła_wyższa, uczelnia</w:t>
      </w:r>
    </w:p>
    <w:p w14:paraId="02C51D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02C51D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D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D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WLWK-PLRO131 - Liczba doposażonych uczelni</w:t>
      </w:r>
    </w:p>
    <w:p w14:paraId="02C51D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D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D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WLWK-PLRO129 - Liczba wspartych uczelni pod kątem budowy infrastruktury dydaktycznej i naukowej</w:t>
      </w:r>
    </w:p>
    <w:p w14:paraId="02C51D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WLWK-PLRO130 - Liczba wspartych uczelni pod kątem przebudowy i rozbudowy infrastruktury dydaktycznej i naukowej</w:t>
      </w:r>
    </w:p>
    <w:p w14:paraId="02C51D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PROG-FESLO-18 - Liczba wspartych obiektów infrastruktury (innych niż budynki mieszkalne) zlokalizowanych na obszarze objętym transformacją</w:t>
      </w:r>
    </w:p>
    <w:p w14:paraId="02C51D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D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D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02C51D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DA3"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8" w:name="_Toc235079846"/>
      <w:r>
        <w:rPr>
          <w:rFonts w:ascii="Calibri" w:hAnsi="Calibri" w:cs="Calibri"/>
          <w:sz w:val="32"/>
        </w:rPr>
        <w:t>Działanie FESL.10.14 Infrastruktura kształcenia zawodowego</w:t>
      </w:r>
      <w:bookmarkEnd w:id="108"/>
    </w:p>
    <w:p w14:paraId="02C51D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D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D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D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122 860 772,00</w:t>
      </w:r>
    </w:p>
    <w:p w14:paraId="02C51D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D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108 406 563,00</w:t>
      </w:r>
    </w:p>
    <w:p w14:paraId="02C51D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D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124 - Infrastruktura na potrzeby kształcenia i szkolenia zawodowego oraz edukacji dorosłych</w:t>
      </w:r>
    </w:p>
    <w:p w14:paraId="02C51D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DAD" w14:textId="7EAAFA7E"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 xml:space="preserve">Przebudowa, budowa, remont sal do praktycznej nauki zawodu wraz z zapewnieniem wyposażenia oraz dostosowaniem infrastruktury do kształcenia włączającego uczniów. </w:t>
      </w:r>
      <w:r>
        <w:br/>
        <w:t>W działaniu poprzez budowę rozumie się, oprócz budowy, także rozbudowę, odbudowę, nadbudowę.</w:t>
      </w:r>
      <w:r>
        <w:br/>
        <w:t>Celem działania jest zwiększenie kompetencji uczniów szkół kształcących w zawodach, poprzez inwestycje w infrastrukturę (stworzenie warunków zbliżonych do rzeczywistego środowiska pracy zawodowej pod kątem wyposażenia, doposażenia warsztatów, pracowni, itp.).</w:t>
      </w:r>
      <w:r w:rsidR="002D509E">
        <w:t xml:space="preserve"> </w:t>
      </w:r>
      <w:r>
        <w:br/>
        <w:t>W ramach działania wsparcie skierowane jest do szkół ponadpodstawowych (szkół branżowych I stopnia, szkół branżowych II stopnia, techników) z wyłączeniem szkół dla osób dorosłych. Dopuszcza się wsparcie placówek kształcenia ustawicznego, w których prowadzona jest praktyczna nauka zawodu dla uczniów ww. szkół ponadpodstawowych. Interwencja w zakresie wsparcia szkolnictwa zawodowego będzie bazować na wykorzystaniu obecnej infrastruktury. Budowa nowych</w:t>
      </w:r>
      <w:r w:rsidR="002D509E">
        <w:t xml:space="preserve"> </w:t>
      </w:r>
      <w:r>
        <w:t xml:space="preserve">obiektów budowlanych będzie możliwa do realizacji, jedynie w przypadku udokumentowanego braku możliwości zaadaptowania istniejących obiektów. </w:t>
      </w:r>
      <w:r>
        <w:br/>
        <w:t xml:space="preserve">Diagnozę potrzeb jednostek samorządu terytorialnego dotyczących szkolnictwa zawodowego zawiera Regionalna Polityka Rozwoju Edukacji Województwa Śląskiego. Ponadto w ramach szkolnictwa zawodowego należy uwzględnić konieczność dopasowania kierunku kształcenia do wymagań i potrzeb rynku pracy (Barometr zawodów) lub specjalizacji regionalnych (Program Rozwoju Technologii Województwa Śląskiego na lata 2019-2030 lub inteligentnych specjalizacji (Regionalna Strategia Innowacji Województwa Śląskiego 2030- Inteligentne Śląskie). </w:t>
      </w:r>
      <w:r>
        <w:br/>
        <w:t>Jako uzupełnienie do sali/sal do praktycznej nauki zawodu, w przypadku, gdy dany zawód wymaga pomieszczeń do przechowywania urządzeń przenośnych wykorzystywanych podczas praktyk, szatni, sanitariatów, pokojów socjalnych dla uczniów, to ww. pomieszczenia będą traktowane jako niezbędne do zrealizowania zaplanowanych działań.</w:t>
      </w:r>
      <w:r>
        <w:br/>
        <w:t>Ponadto Wnioskodawca zobowiązany jest zastosować w zakresie dostępności przedmiotu projektu wymagania wynikające z poziomu podstawowego Modelu Dostępnej Szkoły.</w:t>
      </w:r>
      <w:r>
        <w:br/>
        <w:t>W ramach celu szczegółowego możliwa będzie realizacja przedsięwzięć polegających na wymianie doświadczeń i wiedzy, zwłaszcza z innymi regionami w transformacji jako kontynuacja inicjatywy Coal Regions in Transition.</w:t>
      </w:r>
      <w:r>
        <w:br/>
        <w:t xml:space="preserve">Ponadto działania międzyregionalne, transgraniczne i transnarodowe wzmocnią potencjał inwestycji. </w:t>
      </w:r>
      <w:r>
        <w:br/>
        <w:t xml:space="preserve">Obligatoryjne warunki wsparcia:   </w:t>
      </w:r>
      <w:r>
        <w:br/>
        <w:t>Wsparciem objęte zostaną projekty realizowane na obszarach transformacji obejmujących podregiony:  </w:t>
      </w:r>
      <w:r w:rsidR="002D509E">
        <w:t xml:space="preserve"> </w:t>
      </w:r>
      <w:r>
        <w:br/>
        <w:t>1. Katowicki,  </w:t>
      </w:r>
      <w:r w:rsidR="002D509E">
        <w:t xml:space="preserve"> </w:t>
      </w:r>
      <w:r>
        <w:br/>
        <w:t>2. Sosnowiecki,  </w:t>
      </w:r>
      <w:r w:rsidR="002D509E">
        <w:t xml:space="preserve"> </w:t>
      </w:r>
      <w:r>
        <w:br/>
        <w:t>3. Tyski,  </w:t>
      </w:r>
      <w:r w:rsidR="002D509E">
        <w:t xml:space="preserve"> </w:t>
      </w:r>
      <w:r>
        <w:br/>
        <w:t>4. Bytomski,  </w:t>
      </w:r>
      <w:r w:rsidR="002D509E">
        <w:t xml:space="preserve"> </w:t>
      </w:r>
      <w:r>
        <w:br/>
        <w:t>5. Gliwicki,  </w:t>
      </w:r>
      <w:r w:rsidR="002D509E">
        <w:t xml:space="preserve"> </w:t>
      </w:r>
      <w:r>
        <w:br/>
        <w:t>6. Rybnicki, </w:t>
      </w:r>
      <w:r w:rsidR="002D509E">
        <w:t xml:space="preserve"> </w:t>
      </w:r>
      <w:r>
        <w:br/>
        <w:t>7. Bielski  </w:t>
      </w:r>
      <w:r w:rsidR="002D509E">
        <w:t xml:space="preserve"> </w:t>
      </w:r>
      <w:r>
        <w:br/>
        <w:t xml:space="preserve">zgodnie z zapisami Terytorialnego Planu Sprawiedliwej Transformacji Województwa Śląskiego 2030. </w:t>
      </w:r>
      <w:r>
        <w:br/>
        <w:t xml:space="preserve">Działanie będzie realizowane z uwzględnieniem zasad horyzontalnych (zgodnie z art. 9 Rozporządzenia </w:t>
      </w:r>
      <w:r>
        <w:lastRenderedPageBreak/>
        <w:t xml:space="preserve">Parlamentu Europejskiego i Rady (UE) nr 2021/1060 z dnia 24 czerwca 2021 r.), a obowiązek ich stosowania wynika z Umowy Partnerstwa, programu oraz wytycznych. </w:t>
      </w:r>
      <w:r>
        <w:br/>
        <w:t xml:space="preserve">Preferowane warunki wsparcia: </w:t>
      </w:r>
      <w:r>
        <w:br/>
        <w:t>Premiowane będą projekty, które mają istotny wkład w realizację jednego z sześciu celów środowiskowych określanych w rozporządzeniu (UE) 2020/852.</w:t>
      </w:r>
      <w:r>
        <w:br/>
        <w:t>W stosownych przypadkach wsparcie realizowane będzie ze szczególnym uwzględnieniem założeń Nowego Europejskiego Bauhausu. </w:t>
      </w:r>
      <w:r>
        <w:br/>
        <w:t xml:space="preserve">Rekomenduje się realizację zielonych zamówień publicznych w oparciu o opracowane przez KE wspólne kryteria możliwe do stosowania w państwach członkowskich Unii.  </w:t>
      </w:r>
    </w:p>
    <w:p w14:paraId="02C51D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D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D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D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D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D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D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D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minimis w ramach regionalnych programów na lata 2021–2027 (Dz.U. 2024 poz. 598), Rozporządzenie Ministra Funduszy i Polityki Regionalnej z dnia 26 stycznia 2023 r. w sprawie udzielania regionalnej pomocy inwestycyjnej ze środków Funduszu na rzecz Sprawiedliwej Transformacji w ramach regionalnych programów na lata 2021-2027 (Dz.U. z 2024 poz. 1587)</w:t>
      </w:r>
    </w:p>
    <w:p w14:paraId="02C51D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D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 7% stawka ryczałtowa na koszty pośrednie (podstawa wyliczenia: koszty bezpośrednie) [art. 54(a) CPR]</w:t>
      </w:r>
    </w:p>
    <w:p w14:paraId="02C51D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D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D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D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D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D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D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D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 ZIT</w:t>
      </w:r>
    </w:p>
    <w:p w14:paraId="02C51D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D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Przedsiębiorstwa realizujące cele publiczne, Zintegrowane Inwestycje Terytorialne (ZIT)</w:t>
      </w:r>
    </w:p>
    <w:p w14:paraId="02C51D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D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Instytucje otoczenia biznesu, Jednostki Samorządu Terytorialnego, Kościoły i związki wyznaniowe, Organizacje pozarządowe, Podmioty zarządzające terenami inwestycyjnymi, Szkoły i inne placówki systemu oświaty, Zintegrowane Inwestycje Terytorialne (ZIT)</w:t>
      </w:r>
    </w:p>
    <w:p w14:paraId="02C51D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D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infrastruktura, infrastruktura_kształcenia_zawodowego, kształcenie_zawodowe, sprawiedliwa_transformacja, szkoła, szkoła_zawodowa</w:t>
      </w:r>
    </w:p>
    <w:p w14:paraId="02C51D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D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1D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D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D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D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02C51D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D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D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02C51D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WLWK-PLRO126 - Liczba wybudowanych szkół</w:t>
      </w:r>
    </w:p>
    <w:p w14:paraId="02C51D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2C51D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C51D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PROG-FESLO-18 - Liczba wspartych obiektów infrastruktury (innych niż budynki mieszkalne) zlokalizowanych na obszarze objętym transformacją</w:t>
      </w:r>
    </w:p>
    <w:p w14:paraId="02C51D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D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D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02C51D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DD7"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9" w:name="_Toc235079847"/>
      <w:r>
        <w:rPr>
          <w:rFonts w:ascii="Calibri" w:hAnsi="Calibri" w:cs="Calibri"/>
          <w:sz w:val="32"/>
        </w:rPr>
        <w:t>Działanie FESL.10.15 Wykorzystanie endogenicznego potencjału podregionów górniczych</w:t>
      </w:r>
      <w:bookmarkEnd w:id="109"/>
    </w:p>
    <w:p w14:paraId="02C51D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D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D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D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41 600 000,00</w:t>
      </w:r>
    </w:p>
    <w:p w14:paraId="02C51D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D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41 600 000,00</w:t>
      </w:r>
    </w:p>
    <w:p w14:paraId="02C51D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D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081 - Infrastruktura czystego transportu miejskiego, 083 - Infrastruktura rowerowa, 086 - Infrastruktura paliw alternatywnych</w:t>
      </w:r>
    </w:p>
    <w:p w14:paraId="02C51D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D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Celem wsparcia jest wykorzystanie endogenicznego potencjału obszaru w kierunku poprawy warunków życia mieszkańców i środowiska naturalnego poprzez stworzenie alternatywnej dla indywidualnego ruchu zmotoryzowanego formy codziennego przemieszczania się i transportu publicznego. Przedsięwzięcia muszą wpisywać się w wyzwania objęte Terytorialnym Planem Sprawiedliwej Transformacji i być skierowane do podregionu bielskiego.</w:t>
      </w:r>
      <w:r>
        <w:br/>
      </w:r>
      <w:r>
        <w:br/>
        <w:t xml:space="preserve">Do wsparcia kwalifikują się następujące typy działań związane z poprawą mobilności mieszkańców, </w:t>
      </w:r>
      <w:r>
        <w:lastRenderedPageBreak/>
        <w:t>szczególnie poprzez promocję ekologicznego i zeroemisyjnego transportu, co przyczyni się do zwiększenia dostępności do lokalnych rynków pracy dla grup dotkniętych i obciążonych procesem transformacji regionu.</w:t>
      </w:r>
      <w:r>
        <w:br/>
      </w:r>
      <w:r>
        <w:br/>
        <w:t>Kwalifikowane są inwestycje polegające w szczególności na rozwoju infrastruktury:</w:t>
      </w:r>
      <w:r>
        <w:br/>
        <w:t>- rowerowej, w tym Regionalnych Tras Rowerowych;</w:t>
      </w:r>
      <w:r>
        <w:br/>
        <w:t xml:space="preserve">- transportu publicznego. Tworzenie infrastruktury liniowej i punktowej (m . in.: centra przesiadkowe, przystanki, wiaty, zatoki autobusowe, miejsca przesiadkowe, parkingi Bike&amp;Ride i Park&amp;Ride). </w:t>
      </w:r>
      <w:r>
        <w:br/>
      </w:r>
      <w:r>
        <w:br/>
        <w:t>Infrastruktura drogowa</w:t>
      </w:r>
      <w:r>
        <w:br/>
        <w:t>Projekty mogą obejmować infrastrukturę drogową, która w 100% będzie użytkowana w transporcie publicznym. Nie będzie kwalifikowana infrastruktura wykorzystywana przez pojazdy samochodowe.</w:t>
      </w:r>
      <w:r>
        <w:br/>
        <w:t>W ramach centrum przesiadkowego, tylko drogi wykorzystywane w pełni przez pojazdy transportu miejskiego będą kwalifikowalne w 100%. Pozostały zakres dróg, np. włączający centrum przesiadkowe do istniejącego układu drogowego, będzie niekwalifikowalny.</w:t>
      </w:r>
      <w:r>
        <w:br/>
        <w:t>Przebudowa istniejącego układu ulicznego, wynikająca z budowy buspasów, jest kwalifikowalna do wsparcia jedynie w zakresie obejmującym buspas. Pozostały zakres przebudowywanej drogi stanowi koszt niekwalifikowalny projektu.</w:t>
      </w:r>
      <w:r>
        <w:br/>
        <w:t>W ramach projektów dopuszczalne będą wydatki poniesione na podniesienie poziomu cyberbezpieczeństwa, zgodnie ze standardami wyznaczonymi w ramach krajowego systemu cyberbezpieczeństwa, bez powielania funkcji inwestycji prowadzonych z poziomu krajowego</w:t>
      </w:r>
      <w:r>
        <w:br/>
      </w:r>
      <w:r>
        <w:br/>
        <w:t xml:space="preserve">1. Obligatoryjne i inne warunki wsparcia:    </w:t>
      </w:r>
      <w:r>
        <w:br/>
        <w:t xml:space="preserve">A) Wynikanie z Planu Zrównoważonej Mobilności Miejskiej (SUMP) lub innych dokumentów strategicznych [1]:   </w:t>
      </w:r>
      <w:r>
        <w:br/>
        <w:t>Weryfikacja warunku odbywać będzie się zgodnie z przypisem nr 1 w działaniu FESL.03.01 Zakup taboru autobusowego/ trolejbusowego-ZIT</w:t>
      </w:r>
      <w:r>
        <w:br/>
      </w:r>
      <w:r>
        <w:br/>
        <w:t>B) Lokalizacja obiektów „park&amp;ride” będzie musiała zapewnić integrację z publicznym transportem zbiorowym. W miastach powyżej 50 tys. mieszkańców wsparcie dla tych obiektów będzie możliwe pod warunkiem ich zlokalizowania poza obszarem funkcjonalnego śródmieścia, wyznaczonym w studium uwarunkowań i kierunków zagospodarowania przestrzennego/ Planie zagospodarowania przestrzennego.</w:t>
      </w:r>
      <w:r>
        <w:br/>
        <w:t xml:space="preserve">Liczbę ludności należy określić na podstawie danych z GUS, dostępnych na moment ogłoszenia naboru na stronie internetowej https://stat.gov.pl/obszarytematyczne/ludnosc/. Dopuszczona zostanie również możliwość wskazania innego alternatywnego i rzetelnego źródła o danych demograficznych, wskazanych w rejestrze mieszkańców, o którym mowa w ustawie z dnia 24 września 2010 r. o ewidencji ludności (Dz. U. z 2022 r., poz. 1191 z późn. zm.), obowiązującego na moment rozpoczęcia naboru wniosków. </w:t>
      </w:r>
      <w:r>
        <w:br/>
      </w:r>
      <w:r>
        <w:br/>
        <w:t xml:space="preserve">C) Drogi rowerowe, ciągi pieszo-rowerowe muszą być realizowane zgodnie ze standardami budowy dróg rowerowych, obowiązującymi w woj. śląskim (wskazanymi w Regionalnej Polityce Rowerowej Województwa Śląskiego).   </w:t>
      </w:r>
      <w:r>
        <w:br/>
      </w:r>
      <w:r>
        <w:lastRenderedPageBreak/>
        <w:t>Jeżeli zakres projektu obejmuje infrastrukturę rowerową realizowaną w ramach sieci regionalnych tras rowerowych, potwierdzeniem zgodności projektu z założeniami określonymi w dokumencie pn.: Regionalna Polityka Rowerowa Województwa Śląskiego wraz z planem sieci regionalnych tras rowerowych będzie pozytywna opinia właściwego Departamentu/ podmiotu Urzędu Marszałkowskiego Województwa Śląskiego odpowiedzialnego za Regionalną Politykę Rowerową Województwa Śląskiego, którą Wnioskodawca zobowiązany będzie dołączyć do wniosku o dofinansowanie.</w:t>
      </w:r>
      <w:r>
        <w:br/>
      </w:r>
      <w:r>
        <w:br/>
        <w:t xml:space="preserve">D) Inwestycje muszą mieć charakter lokalny i oddziaływać na obszary transformacji górniczej, zgodnie z zapisami Terytorialnego Planu Sprawiedliwej Transformacji Województwa Śląskiego 2030. </w:t>
      </w:r>
      <w:r>
        <w:br/>
      </w:r>
      <w:r>
        <w:br/>
        <w:t xml:space="preserve">E) Inwestycje w zrównoważoną mobilność miejską będą musiały być zgodne z właściwymi Programami ochrony powietrza oraz Planami na rzecz zrównoważonej energii i klimatu (SEAP/ SECAP) – jeżeli dane miasto przyjęło takie plany [2].  </w:t>
      </w:r>
      <w:r>
        <w:br/>
      </w:r>
      <w:r>
        <w:br/>
        <w:t>F) Przy projektowaniu i wdrażaniu projektów należy obligatoryjnie podjąć działania na rzecz wyrównywania szans oraz przeciwdziałania dyskryminacji w dostępie do infrastruktury i usług transportu miejskiego, zgodnie ze standardem: transportowym (dla infrastruktury komunikacji publicznej oraz taboru miejskiego), architektonicznym (m.in. odnośnie do stanowisk postojowych, przemieszczania się oraz oznaczeń wewnątrz i na zewnątrz budynków) oraz cyfrowym (odnośnie do sprzętu informatycznego szczególnego przeznaczenia, np. biletomatów), w taki sposób, by projekt odpowiadał na specyficzne potrzeby wszystkich potencjalnych użytkowników, w szczególności: OzN, osób starszych, o ograniczonych możliwościach poruszania się, kobiet, opiekunów z dziećmi czy z osobami potrzebującymi wsparcia w codziennym funkcjonowaniu. Pozytywny wpływ na zasadę dostępności będzie kryterium dostępu warunkującym otrzymanie dofinansowania.</w:t>
      </w:r>
      <w:r>
        <w:br/>
      </w:r>
      <w:r>
        <w:br/>
        <w:t>G) Inwestycje będą również uwzględniać kwestie bezpieczeństwa, w szczególności na rzecz niezmotoryzowanych uczestników ruchu (w tym kobiet).</w:t>
      </w:r>
      <w:r>
        <w:br/>
      </w:r>
      <w:r>
        <w:br/>
        <w:t xml:space="preserve">H) W projektach zaplanowane zostaną działania zapewniające powszechnie dostępne, przejrzyste i aktualizowane przez kompetentne instytucje informacje w językach obcych (ang./ukr.). </w:t>
      </w:r>
      <w:r>
        <w:br/>
      </w:r>
      <w:r>
        <w:br/>
        <w:t xml:space="preserve">I) Wspierane będą wyłącznie działania zgodne z zasadą DNSH (art. 17 rozp. (UE) 2020/852 ), dla której przeprowadzono ocenę zgodności, ujętą w strategicznej ocenie oddziaływania na środowisko programu FE SL 2021-2027. </w:t>
      </w:r>
      <w:r>
        <w:br/>
      </w:r>
      <w:r>
        <w:br/>
        <w:t>J) Tam gdzie to zasadne i możliwe, niezbędne jest zastosowane rozwiązań w zakresie obiegu cyrkularnego (w tym efektywności energetycznej i OZE), jak również elementów sprzyjających adaptacji do zmian klimatu (zielona i niebieska infrastruktura).</w:t>
      </w:r>
      <w:r>
        <w:br/>
        <w:t xml:space="preserve">K) Możliwe będzie realizowanie projektów hybrydowych zgodnie z art. 40 ustawy o zasadach realizacji zadań finansowanych ze środków europejskich w perspektywie finansowej 2021-2027.  </w:t>
      </w:r>
      <w:r>
        <w:br/>
      </w:r>
      <w:r>
        <w:br/>
        <w:t xml:space="preserve">2. Zalecane rozwiązania do ujęcia w projektach: </w:t>
      </w:r>
      <w:r>
        <w:br/>
      </w:r>
      <w:r>
        <w:lastRenderedPageBreak/>
        <w:t>A) Zalecane jest realizowanie założeń Nowego Europejskiego Bauhausu.</w:t>
      </w:r>
      <w:r>
        <w:br/>
        <w:t xml:space="preserve">  </w:t>
      </w:r>
      <w:r>
        <w:br/>
        <w:t xml:space="preserve">B) Zalecane jest ujęcie w projekcie elementów błękitno-zielonej infrastruktury, w celu m.in. zapobiegania występowania wysp ciepła oraz odpowiedniego retencjonowania wody na obszarach zurbanizowanych </w:t>
      </w:r>
      <w:r>
        <w:br/>
        <w:t xml:space="preserve">C) Przy realizacji inwestycji zalecane jest wykorzystanie dobrych praktyk w zakresie ochrony środowiska, w szczególności standardów ochrony drzew.  [Standardy Ochrony Drzew - Narodowy Fundusz Ochrony Środowiska i Gospodarki Wodnej: https://www.gov.pl/web/nfosigw/standardy-ochrony-drzew, http://drzewa.org.pl/standardy].  </w:t>
      </w:r>
      <w:r>
        <w:br/>
      </w:r>
      <w:r>
        <w:br/>
        <w:t>D) Zalecana będzie realizacja zielonych zamówień publicznych w oparciu o opracowane przez KE kryteria. </w:t>
      </w:r>
      <w:r>
        <w:br/>
      </w:r>
      <w:r>
        <w:br/>
        <w:t>[1] Spójność projektu z SUMP lub innymi planami mobilności miejskiej należy rozpatrywać przez brak sprzeczności z postanowieniami obowiązującego na moment ogłoszenia naboru wniosków planu oraz poprzez niepodważanie przez projekt celów tego planu i niekolidowanie projektu z innymi działaniami podejmowanymi na jego podstawie (nie jest natomiast wymagane bezpośrednie wskazanie danej inwestycji w planie).</w:t>
      </w:r>
      <w:r>
        <w:br/>
        <w:t>[2] Spójność z przedmiotowymi dokumentami należy rozpatrywać przez brak sprzeczności z postanowieniami obowiązującego na moment ogłoszenia naboru wniosków programu i planu oraz poprzez niepodważanie przez projekt celów tych dokumentów i niekolidowanie projektu z innymi działaniami podejmowanymi na ich podstawie (nie jest natomiast wymagane bezpośrednie wskazanie danej inwestycji we wskazanych dokumentach).</w:t>
      </w:r>
      <w:r>
        <w:br/>
      </w:r>
      <w:r>
        <w:br/>
      </w:r>
    </w:p>
    <w:p w14:paraId="02C51D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D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D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D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D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D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w:t>
      </w:r>
      <w:r>
        <w:lastRenderedPageBreak/>
        <w:t>zgodne z rynkiem wewnętrznym w zastosowaniu art. 107 i 108 Traktatu (Dz. Urz. UE L 187 z 26.06.2014, str. 1, z późn. zm.)</w:t>
      </w:r>
    </w:p>
    <w:p w14:paraId="02C51D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D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14:paraId="02C51D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D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D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D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D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D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D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D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D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D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D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D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1D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D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w:t>
      </w:r>
    </w:p>
    <w:p w14:paraId="02C51D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D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bike_and_ride, centrum_przesiadkowe, edukacja_rowerowa, inteligentny_transport, park_and_ride, regiony_górnicze, rowery_miejskie, ścieżki_rowerowe, sprawiedliwa_transformacja, tereny_zdegradowane</w:t>
      </w:r>
    </w:p>
    <w:p w14:paraId="02C51D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D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D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D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WLWK-PLRO094 - Liczba miejsc postojowych dla osób z niepełnosprawnościami w wybudowanych, przebudowanych lub doposażonych obiektach „parkuj i jedź”</w:t>
      </w:r>
    </w:p>
    <w:p w14:paraId="02C51D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D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E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WLWK-PLRO099 - Liczba przebudowanych i rozbudowanych zintegrowanych węzłów przesiadkowych</w:t>
      </w:r>
    </w:p>
    <w:p w14:paraId="02C51E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WLWK-PLRO092 - Liczba przebudowanych obiektów „parkuj i jedź"</w:t>
      </w:r>
    </w:p>
    <w:p w14:paraId="02C51E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WLWK-PLRO096 - Liczba stanowisk postojowych w wybudowanych obiektach „Bike&amp;Ride”</w:t>
      </w:r>
    </w:p>
    <w:p w14:paraId="02C51E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WLWK-PLRO184 - Liczba wspartych publicznych systemów wypożyczania rowerów</w:t>
      </w:r>
    </w:p>
    <w:p w14:paraId="02C51E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WLWK-PLRO095 - Liczba wybudowanych obiektów „Bike&amp;Ride”</w:t>
      </w:r>
    </w:p>
    <w:p w14:paraId="02C51E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WLWK-PLRO091 - Liczba wybudowanych obiektów „parkuj i jedź"</w:t>
      </w:r>
    </w:p>
    <w:p w14:paraId="02C51E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WLWK-PLRO098 - Liczba wybudowanych zintegrowanych węzłów przesiadkowych</w:t>
      </w:r>
    </w:p>
    <w:p w14:paraId="02C51E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WLWK-RCO060 - Miasta z nowymi lub zmodernizowanymi cyfrowymi systemami transportu miejskiego</w:t>
      </w:r>
    </w:p>
    <w:p w14:paraId="02C51E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02C51E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E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WLWK-PLRR047 - Liczba ludności korzystającej z nowych lub zmodernizowanych cyfrowych systemów transportu miejskiego</w:t>
      </w:r>
    </w:p>
    <w:p w14:paraId="02C51E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1E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WLWK-RCR064 - Roczna liczba użytkowników infrastruktury rowerowej</w:t>
      </w:r>
    </w:p>
    <w:p w14:paraId="02C51E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WLWK-RCR062 - Roczna liczba użytkowników nowego lub zmodernizowanego transportu publicznego</w:t>
      </w:r>
    </w:p>
    <w:p w14:paraId="02C51E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E0F"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0" w:name="_Toc235079848"/>
      <w:r>
        <w:rPr>
          <w:rFonts w:ascii="Calibri" w:hAnsi="Calibri" w:cs="Calibri"/>
          <w:sz w:val="32"/>
        </w:rPr>
        <w:t>Działanie FESL.10.16 Rozwój przedsiębiorczości FST</w:t>
      </w:r>
      <w:bookmarkEnd w:id="110"/>
    </w:p>
    <w:p w14:paraId="02C51E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E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FST.CP6.I - Umożliwienie regionom i ludności łagodzenia wpływających na społeczeństwo, zatrudnienie, gospodarkę i środowisko skutków transformacji w kierunku osiągnięcia celów Unii na rok 2030 w </w:t>
      </w:r>
      <w:r>
        <w:lastRenderedPageBreak/>
        <w:t>dziedzinie energii i klimatu oraz w kierunku neutralnej dla klimatu gospodarki Unii do roku 2050 w oparciu o porozumienie paryskie.</w:t>
      </w:r>
    </w:p>
    <w:p w14:paraId="02C51E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E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E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E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8 941 176,00</w:t>
      </w:r>
    </w:p>
    <w:p w14:paraId="02C51E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E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8 000 000,00</w:t>
      </w:r>
    </w:p>
    <w:p w14:paraId="02C51E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E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020 - Infrastruktura biznesowa dla MŚP (w tym parki i obiekty przemysłowe), 024 - Zaawansowane usługi wsparcia dla MŚP i grup MŚP (w tym usługi w zakresie zarządzania, marketingu i projektowania)</w:t>
      </w:r>
    </w:p>
    <w:p w14:paraId="02C51E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E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 udzielane działającym już przedsiębiorstwom z obszaru jednego z 7 podregionów górniczych województwa śląskiego (tj. podregionu: bielskiego, bytomskiego, gliwickiego, katowickiego, rybnickiego, sosnowieckiego i tyskiego) na zakup usług doradczych świadczonych przez sieć akredytowanych podmiotów regionalnych, wspomagających planowanie i wdrażanie innowacyjnych rozwiązań związanych z zieloną i cyfrową gospodarką, w szczególności w regionalnych specjalizacjach technologicznych.</w:t>
      </w:r>
      <w:r>
        <w:br/>
        <w:t>W ramach planowanego przedsięwzięcia opracowany zostanie regionalny system voucherów na usługi świadczone na rzecz MŚP.</w:t>
      </w:r>
      <w:r>
        <w:br/>
        <w:t>Wsparcie dla przedsiębiorstw na zakup usług doradczych świadczonych przez podmioty akredytowane na poziomie regionalnym lub krajowym, wspomagające potencjał rozwojowy i konkurencyjność MŚP, w szczególności w regionalnych specjalizacjach technologicznych.</w:t>
      </w:r>
      <w:r>
        <w:br/>
        <w:t>W ramach działania wsparty zostanie projekt wskazany w Kontrakcie Programowym dla Województwa Śląskiego. Projekt stanowi część szerszego przedsięwzięcia mającego na celu zwiększenie poziomu przedsiębiorczości w regionie.</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r>
    </w:p>
    <w:p w14:paraId="02C51E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E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E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1E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E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E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E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E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17 kwietnia 2024 r. w sprawie udzielania pomocy de minimis w ramach regionalnych programów na lata 2021–2027 (Dz.U. 2024 poz. 598)</w:t>
      </w:r>
    </w:p>
    <w:p w14:paraId="02C51E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E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E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E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E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E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E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E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E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E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E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E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Przedsiębiorstwa, Przedsiębiorstwa realizujące cele publiczne</w:t>
      </w:r>
    </w:p>
    <w:p w14:paraId="02C51E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E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doradztwo_biznesowe, IOB, usługi_proinnowacyjne</w:t>
      </w:r>
    </w:p>
    <w:p w14:paraId="02C51E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E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Małe, Mikro, Średnie</w:t>
      </w:r>
    </w:p>
    <w:p w14:paraId="02C51E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E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E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E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E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E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1E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1E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1E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WLWK-RCO004 - Przedsiębiorstwa otrzymujące wsparcie niefinansowe</w:t>
      </w:r>
    </w:p>
    <w:p w14:paraId="02C51E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E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WLWK-RCR003 - Małe i średnie przedsiębiorstwa (MŚP) wprowadzające innowacje produktowe lub procesowe</w:t>
      </w:r>
    </w:p>
    <w:p w14:paraId="02C51E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E40"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1" w:name="_Toc235079849"/>
      <w:r>
        <w:rPr>
          <w:rFonts w:ascii="Calibri" w:hAnsi="Calibri" w:cs="Calibri"/>
          <w:sz w:val="32"/>
        </w:rPr>
        <w:t>Działanie FESL.10.17 Kształcenie osób dorosłych FST</w:t>
      </w:r>
      <w:bookmarkEnd w:id="111"/>
    </w:p>
    <w:p w14:paraId="02C51E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E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E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E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E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E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77 540 177,00</w:t>
      </w:r>
    </w:p>
    <w:p w14:paraId="02C51E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E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69 378 000,00</w:t>
      </w:r>
    </w:p>
    <w:p w14:paraId="02C51E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E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02C51E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lastRenderedPageBreak/>
        <w:t>Opis działania</w:t>
      </w:r>
    </w:p>
    <w:p w14:paraId="02C51E4C" w14:textId="2568F0C8"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Działania w zakresie kompleksowego wsparcia osób dorosłych, które z własnej inicjatywy planują podnieść swoje umiejętności/kompetencje lub zmienić/nabyć nowe kwalifikacje, umożliwiające rozwój w kierunku umiejętności zawodowych, cyfrowych, niezbędnych do podjęcia pracy w sektorze zielonej gospodarki, podstawowych i przekrojowych, ponadto niezbędnych z punktu widzenia regionalnych/lokalnych specjalizacji (RIS, PRT) oraz kwalifikacji funkcjonujących w Zintegrowanym Systemie Kwalifikacji, jak również ich weryfikacja (walidacja, certyfikacja).</w:t>
      </w:r>
      <w:r>
        <w:br/>
      </w:r>
      <w:r>
        <w:br/>
        <w:t>Wybór usługi rozwojowej poprzedzony zostanie usługą doradztwa edukacyjno – zawodowego, której celem będzie właściwe dopasowanie potrzeb uczestników do zmieniającego się rynku pracy.</w:t>
      </w:r>
      <w:r>
        <w:br/>
        <w:t>Możliwe będzie także formalne potwierdzenie efektów uczenia się nabytych w ramach edukacji formalnej, pozaformalnej i w wyniku nieformalnego uczenia się.</w:t>
      </w:r>
      <w:r w:rsidR="002D509E">
        <w:t xml:space="preserve"> </w:t>
      </w:r>
      <w:r>
        <w:br/>
      </w:r>
      <w:r>
        <w:br/>
        <w:t xml:space="preserve">Szczegóły dotyczące potwierdzania efektów uczenia zostaną wskazane w Regulaminie wyboru. </w:t>
      </w:r>
      <w:r>
        <w:br/>
      </w:r>
      <w:r>
        <w:br/>
        <w:t>Wszystkie osoby dorosłe zainteresowane podniesieniem swoich umiejętności/kompetencji/kwalifikacji mają dostęp</w:t>
      </w:r>
      <w:r w:rsidR="002D509E">
        <w:t xml:space="preserve"> </w:t>
      </w:r>
      <w:r>
        <w:t>do dodatkowego wsparcia, tj.:</w:t>
      </w:r>
      <w:r>
        <w:br/>
      </w:r>
      <w:r>
        <w:br/>
        <w:t>- analizy potrzeb rozwojowych, w tym z wykorzystaniem modelu Bilansu Kompetencji;</w:t>
      </w:r>
      <w:r>
        <w:br/>
        <w:t>- wsparcia w wyborze odpowiednich usług rozwojowych w BUR;</w:t>
      </w:r>
      <w:r>
        <w:br/>
        <w:t>- identyfikacji nabytych umiejętności/kompetencji oraz wsparcia w ich walidacji i certyfikacji, w tym zachęcenie do założenia „Mojego portfolio” lub konta Europass;</w:t>
      </w:r>
      <w:r>
        <w:br/>
        <w:t>- zbudowania motywacji do rozwoju tychże umiejętności/kompetencji/kwalifikacji.</w:t>
      </w:r>
      <w:r>
        <w:br/>
        <w:t>WARUNKI:</w:t>
      </w:r>
      <w:r w:rsidR="002D509E">
        <w:t xml:space="preserve"> </w:t>
      </w:r>
      <w:r>
        <w:br/>
      </w:r>
      <w:r>
        <w:br/>
        <w:t>1. Brak możliwości finansowania usługi rozwojowej tożsamej, finansowanej z EFS+ w ramach Działania 6.6 Kształcenie osób dorosłych – EFS+.</w:t>
      </w:r>
      <w:r>
        <w:br/>
      </w:r>
      <w:r>
        <w:br/>
        <w:t>2. Usługi rozwojowe realizowane będą w formule operatorskiej poprzez Podmiotowy System Finansowania (PSF) – za pośrednictwem Bazy Usług Rozwojowych (BUR), zgodnie z warunkami określonymi w rozdziale 8 Podmiotowy System Finansowania Wytycznych dotyczących realizacji projektów z udziałem środków EFS+ na lata 2021-2027.</w:t>
      </w:r>
      <w:r>
        <w:br/>
        <w:t>Nabory prowadzone w ramach działania będą miały na celu wybór Operatorów w drodze konkursu.</w:t>
      </w:r>
      <w:r>
        <w:br/>
      </w:r>
      <w:r>
        <w:br/>
        <w:t>3. W przypadku wspierania kompetencji cyfrowych, przy ocenie ich poziomu, wykorzystane zostanie narzędzie „DigComp” lub inne narzędzie rekomendowane i udostępnione przez ministra właściwego ds. pracy, lub inne narzędzie służące ocenie kompetencji cyfrowych, będące w dyspozycji Wnioskodawcy.</w:t>
      </w:r>
      <w:r>
        <w:br/>
      </w:r>
      <w:r>
        <w:br/>
        <w:t xml:space="preserve">4. Uczestnikami projektu mogą być osoby wyłącznie z 7 podregionów górniczych województwa śląskiego, </w:t>
      </w:r>
      <w:r>
        <w:lastRenderedPageBreak/>
        <w:t xml:space="preserve">kwalifikujących się do wsparcia, tj. podregionu bielskiego, bytomskiego, gliwickiego, katowickiego, rybnickiego, sosnowieckiego i tyskiego. </w:t>
      </w:r>
      <w:r>
        <w:br/>
      </w:r>
      <w:r>
        <w:br/>
        <w:t>Warunki wsparcia FST poszczególnych typów operacji będą identyczne jak w przypadku projektów wspieranych z EFS+, opisanych w odpowiednich celach szczegółowych programu FE SL 2021-2027 i UP z wyjątkiem szczególnie uzasadnionych przypadków uzgodnionych na KM.</w:t>
      </w:r>
      <w:r>
        <w:br/>
      </w:r>
      <w:r>
        <w:br/>
        <w:t>Aby wykluczyć występowanie przesłanek</w:t>
      </w:r>
      <w:r w:rsidR="002D509E">
        <w:t xml:space="preserve"> </w:t>
      </w:r>
      <w:r>
        <w:t>pomocy publicznej usługi rozwojowe muszą odbywać się z własnej inicjatywy uczestnika, poza godzinami pracy, a wszystkie podmioty biorące udział w realizacji projektu muszą być niezależne od pracodawcy uczestnika usługi. Usługi rozwojowe muszą odbywać się poza miejscem pracy uczestników, a nabór na usługę musi być otwarty dla wszystkich zainteresowanych. Usługi rozwojowe nie mogą dotyczyć obowiązkowych szkoleń wynikających z przepisów prawa.</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E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E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E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E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E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E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02C51E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E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02C51E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E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1E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E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E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cross-financing (%)</w:t>
      </w:r>
    </w:p>
    <w:p w14:paraId="02C51E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E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E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E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E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E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E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Partnerzy społeczni, Przedsiębiorstwa, Przedsiębiorstwa realizujące cele publiczne, Służby publiczne</w:t>
      </w:r>
    </w:p>
    <w:p w14:paraId="02C51E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E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Inne podmioty systemu szkolnictwa wyższego i nauki, Instytucje otoczenia biznesu, Instytucje rynku pracy, Izby gospodarcze, Jednostki organizacyjne działające w imieniu jednostek samorządu terytorialnego, Jednostki Samorządu Terytorialnego, Kościoły i związki wyznaniowe, MŚP, Organizacje pozarządowe, Organizacje zrzeszające pracodawców, Ośrodki kształcenia dorosłych, Partnerzy gospodarczy, Podmioty świadczące usługi publiczne w ramach realizacji obowiązków własnych jednostek samorządu terytorialnego, Samorządy zawodowe, Uczelnie, Związki zawodowe</w:t>
      </w:r>
    </w:p>
    <w:p w14:paraId="02C51E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E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baza_usług_rozwojowych, doświadczenie_zawodowe, edukacja, egzamin, kompetencje, kształcenie_dorosłych, kształcenie_zawodowe, kwalifikacje, PSF, rynek_pracy</w:t>
      </w:r>
    </w:p>
    <w:p w14:paraId="02C51E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E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E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E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E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E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E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1E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1E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WLWK-PLGCO01FST - Liczba osób dorosłych objętych usługami rozwojowymi</w:t>
      </w:r>
    </w:p>
    <w:p w14:paraId="02C51E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E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WLWK-EECO07 - Liczba osób w wieku 18-29 lat objętych wsparciem w programie</w:t>
      </w:r>
    </w:p>
    <w:p w14:paraId="02C51E70" w14:textId="53297ECA"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w:t>
      </w:r>
      <w:r w:rsidR="002D509E">
        <w:t xml:space="preserve"> </w:t>
      </w:r>
      <w:r>
        <w:t>objętych wsparciem w programie</w:t>
      </w:r>
    </w:p>
    <w:p w14:paraId="02C51E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E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1E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1E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PROG-FESLO-17 - Liczba osób pracujących w górnictwie lub branży okołogórniczej, objętych wsparciem w programie</w:t>
      </w:r>
    </w:p>
    <w:p w14:paraId="02C51E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E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WLWK-PLGCR01FST - Liczba osób, które uzyskały kwalifikacje cyfrowe po opuszczeniu programu</w:t>
      </w:r>
    </w:p>
    <w:p w14:paraId="02C51E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E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WLWK-PLDGCR04FST - Liczba osób, które uzyskały zielone kwalifikacje po opuszczeniu programu</w:t>
      </w:r>
    </w:p>
    <w:p w14:paraId="02C51E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E7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2" w:name="_Toc235079850"/>
      <w:r>
        <w:rPr>
          <w:rFonts w:ascii="Calibri" w:hAnsi="Calibri" w:cs="Calibri"/>
          <w:sz w:val="32"/>
        </w:rPr>
        <w:t>Działanie FESL.10.18 Redeployment</w:t>
      </w:r>
      <w:bookmarkEnd w:id="112"/>
    </w:p>
    <w:p w14:paraId="02C51E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E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E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E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E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E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35 764 705,00</w:t>
      </w:r>
    </w:p>
    <w:p w14:paraId="02C51E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E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32 000 000,00</w:t>
      </w:r>
    </w:p>
    <w:p w14:paraId="02C51E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E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146 - Wsparcie na rzecz przystosowywania pracowników, przedsiębiorstw i przedsiębiorców do zmian</w:t>
      </w:r>
    </w:p>
    <w:p w14:paraId="02C51E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E86" w14:textId="721FE674"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realizowane będzie wsparcie ukierunkowane na utrzymanie zatrudnienia w przedsiębiorstwach, w szczególności z branży górniczej oraz z branż okołogórniczych, z terenu siedmiu </w:t>
      </w:r>
      <w:r>
        <w:lastRenderedPageBreak/>
        <w:t>podregionów województwa śląskiego przechodzących procesy restrukturyzacyjne (bielskiego, bytomskiego, gliwickiego, katowickiego, rybnickiego, sosnowieckiego i tyskiego) bezpośrednio poprzez działania skierowane do pracowników tych przedsiębiorstw i pośrednio poprzez przebranżowienie profilu działalności gospodarczej, zgodnie z polityką gospodarczą – lokalnym podejściem do rozwoju gospodarki, w szczególności z uwagi na potrzebę przechodzenia na zieloną gospodarkę (sektor zielonej gospodarki) tj.</w:t>
      </w:r>
      <w:r w:rsidR="002D509E">
        <w:t xml:space="preserve"> </w:t>
      </w:r>
      <w:r>
        <w:t>gospodarkę, która jest oparta na odnawialnych źródłach energii, nowoczesnych technologiach ukierunkowanych na niskoemisyjność i zasobooszczędności.</w:t>
      </w:r>
      <w:r>
        <w:br/>
      </w:r>
      <w:r>
        <w:br/>
        <w:t>Działania projektowe na zasadzie redeploymentu będą realizowane poprzez zamianę stanowisk zajmowanych przez konkretne osoby na inne stanowiska pracy w tym samym zakładzie pracy, w celu utrzymania zatrudnienia pracowników, wykorzystując ich kompetencje i aspiracje zawodowe z uwagi na zagrożenia związane z utrzymaniem stanowiska pracy</w:t>
      </w:r>
      <w:r w:rsidR="002D509E">
        <w:t xml:space="preserve"> </w:t>
      </w:r>
      <w:r>
        <w:t xml:space="preserve">na skutek trwających w firmie procesów reorganizacji. </w:t>
      </w:r>
      <w:r>
        <w:br/>
      </w:r>
      <w:r>
        <w:br/>
        <w:t>W ramach redeploymentu możliwe jest także wsparcie finansowe związane z zatrudnieniem nowych pracowników.</w:t>
      </w:r>
      <w:r>
        <w:br/>
      </w:r>
      <w:r>
        <w:br/>
        <w:t xml:space="preserve">Projekt będzie realizowany przez Wojewódzki Urząd Pracy w Katowicach. Dopuszcza się realizację projektu w partnerstwie, zgodnie z zapisami art. 39 ustawy z dnia 28 kwietnia 2022 r. o zasadach realizacji zadań finansowanych ze środków europejskich w perspektywie finansowej 2021-2027. </w:t>
      </w:r>
      <w:r>
        <w:br/>
      </w:r>
      <w:r>
        <w:br/>
        <w:t>Typy projektów:</w:t>
      </w:r>
      <w:r>
        <w:br/>
      </w:r>
      <w:r>
        <w:br/>
        <w:t>Ścieżka wsparcia projektowego będzie obejmować:</w:t>
      </w:r>
      <w:r>
        <w:br/>
      </w:r>
      <w:r>
        <w:br/>
        <w:t xml:space="preserve">1. (obligatoryjne) identyfikację specyficznych potrzeb przedsiębiorstw poprzez analizę przygotowanych przez przedsiębiorcę „indywidualnych planów transformacji” (IPT), szczególnie w kierunku zielonej gospodarki; </w:t>
      </w:r>
      <w:r>
        <w:br/>
      </w:r>
      <w:r>
        <w:br/>
        <w:t>2. (obligatoryjne) szkolenia przekwalifikowujące (świadczone przede wszystkim za pośrednictwem Bazy usług rozwojowych poza Podmiotowym Systemem Finansowania)</w:t>
      </w:r>
      <w:r w:rsidR="002D509E">
        <w:t xml:space="preserve"> </w:t>
      </w:r>
      <w:r>
        <w:t>dla pracowników przedsiębiorstw ukierunkowane w szczególności na zieloną gospodarkę/zgodne z zieloną gospodarką, których celem jest dostosowanie do wymogów nowych stanowisk pracy;;</w:t>
      </w:r>
      <w:r>
        <w:br/>
      </w:r>
      <w:r>
        <w:br/>
        <w:t>3. dofinansowanie do stanowisk pracy w celu zakupu odpowiedniego sprzętu oraz innych materiałów i przedmiotów niezbędnych do prawidłowego funkcjonowania tych stanowisk;</w:t>
      </w:r>
      <w:r>
        <w:br/>
      </w:r>
      <w:r>
        <w:br/>
        <w:t>4. dofinansowanie do kosztów zatrudnienia w przedsiębiorstwie.</w:t>
      </w:r>
      <w:r>
        <w:br/>
      </w:r>
      <w:r>
        <w:br/>
        <w:t xml:space="preserve">Wsparcie dla przedsiębiorców w ramach projektu będzie realizowane wyłącznie na zasadach pomocy de </w:t>
      </w:r>
      <w:r>
        <w:lastRenderedPageBreak/>
        <w:t>minimis.</w:t>
      </w:r>
      <w:r>
        <w:br/>
      </w:r>
    </w:p>
    <w:p w14:paraId="02C51E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E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E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E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E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E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1E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E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17 kwietnia 2024 r. w sprawie udzielania pomocy de minimis w ramach regionalnych programów na lata 2021–2027 (Dz.U. 2024 poz. 598)</w:t>
      </w:r>
    </w:p>
    <w:p w14:paraId="02C51E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E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1E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E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E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E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E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E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E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E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E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E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E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E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Organizacje społeczne i związki wyznaniowe, Partnerzy społeczni, Przedsiębiorstwa, Służby publiczne</w:t>
      </w:r>
    </w:p>
    <w:p w14:paraId="02C51E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Typ beneficjenta – szczegółowy</w:t>
      </w:r>
    </w:p>
    <w:p w14:paraId="02C51E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otoczenia biznesu, Instytucje rynku pracy, Izby gospodarcze, MŚP, Organizacje pozarządowe, Organizacje zrzeszające pracodawców</w:t>
      </w:r>
    </w:p>
    <w:p w14:paraId="02C51E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E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bezrobotne zarejestrowane, osoby bierne zawodowo, pracownicy przedsiębiorstw, przedsiębiorstwa</w:t>
      </w:r>
    </w:p>
    <w:p w14:paraId="02C51E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E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baza_usług_rozwojowych, dotacje_na_miejsca_pracy, kompetencje_zawodowe, kwalifikacje, przedsiębiorca, rozwój_zawodowy, szkolenia, transformacja, usługi_rozwojowe, zatrudnienie</w:t>
      </w:r>
    </w:p>
    <w:p w14:paraId="02C51E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E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1E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E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E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E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E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WLWK-PLDCO06FST - Liczba osób objętych wsparciem z zakresu outplacementu</w:t>
      </w:r>
    </w:p>
    <w:p w14:paraId="02C51E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E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E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02C51E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1E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1E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1E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1E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PROG-FESLO-17 - Liczba osób pracujących w górnictwie lub branży okołogórniczej, objętych wsparciem w programie</w:t>
      </w:r>
    </w:p>
    <w:p w14:paraId="02C51E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E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E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WLWK-PLDGCR04FST - Liczba osób, które uzyskały zielone kwalifikacje po opuszczeniu programu</w:t>
      </w:r>
    </w:p>
    <w:p w14:paraId="02C51EB5" w14:textId="48EAF63A"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WLWK-PLDCR02FST - Liczba osób, które w wyniku realizacji wsparcia z zakresu</w:t>
      </w:r>
      <w:r w:rsidR="002D509E">
        <w:t xml:space="preserve"> </w:t>
      </w:r>
      <w:r>
        <w:t>outplacementu/poprawy środowiska pracy podjęły pracę lub kontynuowały zatrudnienie</w:t>
      </w:r>
    </w:p>
    <w:p w14:paraId="02C51E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EB7"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3" w:name="_Toc235079851"/>
      <w:r>
        <w:rPr>
          <w:rFonts w:ascii="Calibri" w:hAnsi="Calibri" w:cs="Calibri"/>
          <w:sz w:val="32"/>
        </w:rPr>
        <w:t>Działanie FESL.10.19 Outplacement FST</w:t>
      </w:r>
      <w:bookmarkEnd w:id="113"/>
    </w:p>
    <w:p w14:paraId="02C51E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E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E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E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E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E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55 089 161,00</w:t>
      </w:r>
    </w:p>
    <w:p w14:paraId="02C51E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E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49 580 245,00</w:t>
      </w:r>
    </w:p>
    <w:p w14:paraId="02C51E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E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146 - Wsparcie na rzecz przystosowywania pracowników, przedsiębiorstw i przedsiębiorców do zmian</w:t>
      </w:r>
    </w:p>
    <w:p w14:paraId="02C51E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EC3" w14:textId="681932FC"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realizowane będzie wsparcie na zasadach dotyczących projektów o charakterze outplacementowym, w zakresie ścieżki reorientacji zawodowej dla osób dotkniętych procesem transformacji oraz ścieżki aktywizacji społecznej i zawodowej dla członków ich rodzin jako wsparcia uzupełniającego (fakultatywnego).</w:t>
      </w:r>
      <w:r>
        <w:br/>
      </w:r>
      <w:r>
        <w:br/>
        <w:t xml:space="preserve">Wsparcie będzie skierowane do osób dotkniętych procesem transformacji, których status na rynku pracy pozwala na skorzystanie z instrumentu outplacement oraz (fakultatywnie) członków ich rodzin. </w:t>
      </w:r>
      <w:r>
        <w:br/>
      </w:r>
      <w:r>
        <w:br/>
        <w:t>WARUNKI:</w:t>
      </w:r>
      <w:r>
        <w:br/>
      </w:r>
      <w:r>
        <w:br/>
        <w:t>1.</w:t>
      </w:r>
      <w:r>
        <w:tab/>
        <w:t>Jest osobą dotkniętą procesem transformacji, spełniającą łącznie następujące warunki:</w:t>
      </w:r>
      <w:r>
        <w:br/>
      </w:r>
      <w:r>
        <w:br/>
        <w:t xml:space="preserve">- jest osobą pracującą lub zamieszkującą (w rozumieniu przepisów Kodeksu Cywilnego), na obszarze wskazanym w Terytorialnym Planie Sprawiedliwej Transformacji Województwa Śląskiego 2030, tj. wyłącznie jednego z 7 podregionów górniczych województwa śląskiego, tj.: podregion katowicki, </w:t>
      </w:r>
      <w:r>
        <w:lastRenderedPageBreak/>
        <w:t>sosnowiecki, tyski, bytomski, gliwicki, rybnicki oraz bielski;</w:t>
      </w:r>
      <w:r>
        <w:br/>
        <w:t>- jest osobą zagrożoną, przewidzianą do zwolnienia lub zwolnioną (w okresie po 28 maja 2021 r., tj. po dacie podpisania Umowy społecznej dotyczącej transformacji sektora górnictwa węgla kamiennego oraz wybranych procesów transformacji woj. śląskiego) z przyczyn niedotyczących pracownika, przyczyn restrukturyzacyjnych, adaptacyjnych i modernizacyjnych przedsiębiorstwa.</w:t>
      </w:r>
      <w:r>
        <w:br/>
      </w:r>
      <w:r>
        <w:br/>
        <w:t>2.</w:t>
      </w:r>
      <w:r>
        <w:tab/>
        <w:t>jest pozostającym bez zatrudnienia członkiem rodziny uczestnika projektu.</w:t>
      </w:r>
      <w:r>
        <w:br/>
      </w:r>
      <w:r>
        <w:br/>
        <w:t>W szczególności wsparcie będzie kierowane do obecnych i byłych pracowników branż górniczej i okołogórniczej. Takie osoby będą miały bezwzględne pierwszeństwo udziału w projekcie.</w:t>
      </w:r>
      <w:r>
        <w:br/>
      </w:r>
      <w:r>
        <w:br/>
        <w:t>Definicja branży okołogórniczej zostanie określona w Regulaminie wyboru.</w:t>
      </w:r>
      <w:r>
        <w:br/>
      </w:r>
      <w:r>
        <w:br/>
        <w:t>Realizacja ścieżki reorientacji</w:t>
      </w:r>
      <w:r w:rsidR="002D509E">
        <w:t xml:space="preserve"> </w:t>
      </w:r>
      <w:r>
        <w:t xml:space="preserve">zawodowej, jako elementów w programie wsparcia outplacement wyeliminuje lub ograniczy okres pozostawania poza rynkiem pracy uczestników projektu, pozwalając na płynne przejście do nowego zatrudnienia. </w:t>
      </w:r>
      <w:r>
        <w:br/>
      </w:r>
      <w:r>
        <w:br/>
        <w:t>Typy projektów:</w:t>
      </w:r>
      <w:r>
        <w:br/>
      </w:r>
      <w:r>
        <w:br/>
        <w:t>Wsparcie realizowane będzie poprzez:</w:t>
      </w:r>
      <w:r>
        <w:br/>
      </w:r>
      <w:r>
        <w:br/>
        <w:t>- indywidualne doradztwo zawodowe zakończone Indywidualnym Planem Działania (wsparcie obowiązkowe);</w:t>
      </w:r>
      <w:r>
        <w:br/>
        <w:t xml:space="preserve">- szkolenia, kursy (świadczone m. in. za pośrednictwem Bazy Usług Rozwojowych poza Podmiotowym Systemem Finansowania) służące podniesieniu lub nabyciu nowych kompetencji / kwalifikacji przez uczestnika projektu, w szczególności na potrzeby zielonych miejsc pracy oraz w zakresie cyfrowych umiejętności; </w:t>
      </w:r>
      <w:r>
        <w:br/>
        <w:t xml:space="preserve">- egzaminy certyfikujące; </w:t>
      </w:r>
      <w:r>
        <w:br/>
        <w:t>- doradztwo prawne;</w:t>
      </w:r>
      <w:r>
        <w:br/>
        <w:t>- wsparcie psychologiczne;</w:t>
      </w:r>
      <w:r>
        <w:br/>
        <w:t>- pośrednictwo pracy;</w:t>
      </w:r>
      <w:r>
        <w:br/>
        <w:t>- subsydiowane zatrudnienie dla uczestnika projektu;</w:t>
      </w:r>
      <w:r>
        <w:br/>
        <w:t>- doposażenie / wyposażenie stanowiska pracy dla zatrudnionego uczestnika projektu;</w:t>
      </w:r>
      <w:r>
        <w:br/>
        <w:t>- wsparcie towarzyszące (np. opieka nad osobami zależnymi, refundacja kosztów dojazdu, stypendium szkoleniowe).</w:t>
      </w:r>
    </w:p>
    <w:p w14:paraId="02C51E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E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2C51E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E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100</w:t>
      </w:r>
    </w:p>
    <w:p w14:paraId="02C51E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E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1E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E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17 kwietnia 2024 r. w sprawie udzielania pomocy de minimis w ramach regionalnych programów na lata 2021–2027 (Dz.U. 2024 poz. 598)</w:t>
      </w:r>
    </w:p>
    <w:p w14:paraId="02C51E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E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1E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E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E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E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E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E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E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E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E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E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Partnerzy społeczni, Przedsiębiorstwa, Przedsiębiorstwa realizujące cele publiczne, Służby publiczne</w:t>
      </w:r>
    </w:p>
    <w:p w14:paraId="02C51E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E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finansowe, Instytucje integracji i pomocy społecznej, Instytucje otoczenia biznesu, Instytucje rynku pracy, Izby gospodarcze, Jednostki organizacyjne działające w imieniu jednostek samorządu terytorialnego, Jednostki Samorządu Terytorialnego, Klastry, Kościoły i związki wyznaniowe, MŚP, Niepubliczne podmioty integracji i pomocy społecznej, Organizacje pozarządowe, Organizacje zrzeszające pracodawców, Ośrodki kształcenia dorosłych, Partnerstwa instytucji pozarządowych, Partnerstwa Publiczno-Prywatne, Partnerzy gospodarczy, Podmioty ekonomii społecznej, Podmioty świadczące usługi publiczne w ramach realizacji obowiązków własnych jednostek samorządu terytorialnego, Samorządy zawodowe, Szkoły i inne placówki systemu oświaty, Uczelnie, Związki zawodowe</w:t>
      </w:r>
    </w:p>
    <w:p w14:paraId="02C51E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E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osoby pracujące lub zamieszkujące (w rozumieniu przepisów Kodeksu Cywilnego) na obszarze wskazanym w Terytorialnym Planie Sprawiedliwej Transformacji Województwa Śląskiego 2030 (TPST), tj. wyłącznie jednego z 7 podregionów górniczych województwa śląskiego, tj.: podregionu katowickiego, sosnowieckiego, tyskiego, bytomskiego, gliwickiego, rybnickiego oraz bielskiego; osoby zagrożone, przewidziane do zwolnienia lub zwolnione (w okresie po 28 maja 2021 r., tj. po dacie podpisania Umowy społecznej dotyczącej transformacji sektora górnictwa węgla kamiennego oraz wybranych procesów transformacji woj. śląskiego) z przyczyn niedotyczących pracownika</w:t>
      </w:r>
    </w:p>
    <w:p w14:paraId="02C51E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E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bezrobotny, kompetencje, kwalifikacje, outplacement, rozwój_zawodowy, szkolenia, zatrudnienie</w:t>
      </w:r>
    </w:p>
    <w:p w14:paraId="02C51E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E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1E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E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E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E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E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1E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1E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WLWK-PLDCO06FST - Liczba osób objętych wsparciem z zakresu outplacementu</w:t>
      </w:r>
    </w:p>
    <w:p w14:paraId="02C51E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E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E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1E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1E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PROG-FESLO-17 - Liczba osób pracujących w górnictwie lub branży okołogórniczej, objętych wsparciem w programie</w:t>
      </w:r>
    </w:p>
    <w:p w14:paraId="02C51E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E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WLWK-PLGCR01FST - Liczba osób, które uzyskały kwalifikacje cyfrowe po opuszczeniu programu</w:t>
      </w:r>
    </w:p>
    <w:p w14:paraId="02C51E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E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WLWK-PLDGCR04FST - Liczba osób, które uzyskały zielone kwalifikacje po opuszczeniu programu</w:t>
      </w:r>
    </w:p>
    <w:p w14:paraId="02C51EF0" w14:textId="26E8CB5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WLWK-PLDCR02FST - Liczba osób, które w wyniku realizacji wsparcia z zakresu</w:t>
      </w:r>
      <w:r w:rsidR="002D509E">
        <w:t xml:space="preserve"> </w:t>
      </w:r>
      <w:r>
        <w:t>outplacementu/poprawy środowiska pracy podjęły pracę lub kontynuowały zatrudnienie</w:t>
      </w:r>
    </w:p>
    <w:p w14:paraId="02C51E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WLWK-EECR04 - Liczba osób pracujących, łącznie z prowadzącymi działalność na własny rachunek, po opuszczeniu programu</w:t>
      </w:r>
    </w:p>
    <w:p w14:paraId="02C51E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EF3"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4" w:name="_Toc235079852"/>
      <w:r>
        <w:rPr>
          <w:rFonts w:ascii="Calibri" w:hAnsi="Calibri" w:cs="Calibri"/>
          <w:sz w:val="32"/>
        </w:rPr>
        <w:t>Działanie FESL.10.20 Wsparcie na założenie działalności gospodarczej</w:t>
      </w:r>
      <w:bookmarkEnd w:id="114"/>
    </w:p>
    <w:p w14:paraId="02C51E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E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E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E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E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E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35 764 705,00</w:t>
      </w:r>
    </w:p>
    <w:p w14:paraId="02C51E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E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32 000 000,00</w:t>
      </w:r>
    </w:p>
    <w:p w14:paraId="02C51E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E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146 - Wsparcie na rzecz przystosowywania pracowników, przedsiębiorstw i przedsiębiorców do zmian</w:t>
      </w:r>
    </w:p>
    <w:p w14:paraId="02C51E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EFF" w14:textId="699BB336"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realizowane będzie wsparcie na zasadach, dotyczących projektów o charakterze outplacementowym, dotyczące realizacji indywidualnej ścieżki przedsiębiorczości dla uczestników projektów (dotacje na zakładanie działalności gospodarczej). </w:t>
      </w:r>
      <w:r>
        <w:br/>
      </w:r>
      <w:r>
        <w:br/>
        <w:t>Wsparcie będzie skierowane do osób dotkniętych procesem transformacji, których status na rynku pracy pozwala na skorzystanie z instrumentu outplacement. Tym samym kandydat do projektu musi spełniać łącznie następujące warunki do udziału w projekcie:</w:t>
      </w:r>
      <w:r>
        <w:br/>
      </w:r>
      <w:r>
        <w:br/>
        <w:t>1.</w:t>
      </w:r>
      <w:r>
        <w:tab/>
        <w:t>jest osobą pracującą lub zamieszkującą (w rozumieniu przepisów Kodeksu Cywilnego), na obszarze wskazanym w Terytorialnym Planie Sprawiedliwej Transformacji Województwa Śląskiego 2030 tj. wyłącznie jednego z</w:t>
      </w:r>
      <w:r w:rsidR="002D509E">
        <w:t xml:space="preserve"> </w:t>
      </w:r>
      <w:r>
        <w:t>7 podregionów górniczych województwa śląskiego, tj.: podregion katowicki, sosnowiecki, tyski, bytomski, gliwicki, rybnicki oraz bielski;</w:t>
      </w:r>
      <w:r>
        <w:br/>
        <w:t>2.</w:t>
      </w:r>
      <w:r>
        <w:tab/>
        <w:t>jest osobą zagrożoną, przewidzianą do zwolnienia lub zwolnioną z przyczyn niedotyczących pracownika.</w:t>
      </w:r>
      <w:r>
        <w:br/>
      </w:r>
      <w:r>
        <w:br/>
      </w:r>
      <w:r>
        <w:lastRenderedPageBreak/>
        <w:t>W szczególności wsparcie będzie kierowane do obecnych i byłych pracowników branż górniczej i okołogórniczej. Takie osoby będą miały bezwzględne pierwszeństwo udziału w projekcie.</w:t>
      </w:r>
      <w:r>
        <w:br/>
      </w:r>
      <w:r>
        <w:br/>
        <w:t>Definicja branży okołogórniczej zostanie określona w regulaminie naboru.</w:t>
      </w:r>
      <w:r>
        <w:br/>
      </w:r>
      <w:r>
        <w:br/>
        <w:t xml:space="preserve">Realizacja ścieżki przedsiębiorczości, jako elementu w programie wsparcia outplacement wyeliminuje lub ograniczy okres pozostawania poza rynkiem pracy uczestników projektu, pozwalając na płynne przejście do nowej pracy na zasadach samozatrudnienia. W rezultacie, działania projektowe będą wspierać proces transformacji w regionie umożliwiając uczestnikom projektu, w szczególności obecnym lub byłym pracownikom branż górniczej i około górniczej, podjęcie nowego zatrudnienia. </w:t>
      </w:r>
      <w:r>
        <w:br/>
      </w:r>
      <w:r>
        <w:br/>
        <w:t>Typy projektów:</w:t>
      </w:r>
      <w:r>
        <w:br/>
      </w:r>
      <w:r>
        <w:br/>
        <w:t>W ramach ścieżki przedsiębiorczości elementami obligatoryjnymi wsparcia będą (łącznie):</w:t>
      </w:r>
      <w:r>
        <w:br/>
      </w:r>
      <w:r>
        <w:br/>
        <w:t>- działania weryfikacyjne i przygotowawcze do założenia działalności gospodarczej, obejmujące ocenę umiejętności, predyspozycji zawodowych oraz motywacji kandydata do projektu , przeprowadzoną przez Doradcę Zawodowego oraz indywidualne wsparcie dla uczestnika projektu obejmujące doradztwo / szkolenia związane z podjęciem i prowadzeniem działalności gospodarczej</w:t>
      </w:r>
      <w:r w:rsidR="002D509E">
        <w:t xml:space="preserve"> </w:t>
      </w:r>
      <w:r>
        <w:t>(wparcie przed założeniem działalności gospodarczej),</w:t>
      </w:r>
      <w:r>
        <w:br/>
      </w:r>
      <w:r>
        <w:br/>
        <w:t>- bezzwrotne dotacje na rozpoczęcie działalności gospodarczej dla uczestników projektu (wsparcie po zarejestrowaniu działalności gospodarczej). Maksymalny limit wsparcia dla jednego uczestnika projektu: 100 000,00 PLN.</w:t>
      </w:r>
      <w:r>
        <w:br/>
      </w:r>
    </w:p>
    <w:p w14:paraId="02C51F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F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F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F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1F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F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2C51F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F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17 kwietnia 2024 r. w sprawie udzielania pomocy de minimis w ramach regionalnych programów na lata 2021–2027 (Dz.U. 2024 poz. 598)</w:t>
      </w:r>
    </w:p>
    <w:p w14:paraId="02C51F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Uproszczone metody rozliczania</w:t>
      </w:r>
    </w:p>
    <w:p w14:paraId="02C51F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02C51F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F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F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F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F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F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1F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F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F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F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F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F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Osoby fizyczne, Partnerstwa, Partnerzy społeczni, Przedsiębiorstwa, Przedsiębiorstwa realizujące cele publiczne, Służby publiczne</w:t>
      </w:r>
    </w:p>
    <w:p w14:paraId="02C51F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1F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otoczenia biznesu, Instytucje rynku pracy, Izby gospodarcze, Jednostki organizacyjne działające w imieniu jednostek samorządu terytorialnego, Jednostki Samorządu Terytorialnego, Klastry, Kościoły i związki wyznaniowe, MŚP, Organizacje pozarządowe, Organizacje zrzeszające pracodawców, Partnerstwa instytucji pozarządowych, Partnerzy gospodarczy, Podmioty świadczące usługi publiczne w ramach realizacji obowiązków własnych jednostek samorządu terytorialnego, Samorządy zawodowe, Związki zawodowe</w:t>
      </w:r>
    </w:p>
    <w:p w14:paraId="02C51F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F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aktywizacja_zawodowa, dotacje_na_miejsca_pracy, działalność_gospodarcza, outplacement, pożyczka_na_start, rynek_pracy, sprawiedliwa_transformacja, start-up, zatrudnienie</w:t>
      </w:r>
    </w:p>
    <w:p w14:paraId="02C51F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F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F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F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F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F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WLWK-PLRO132 - Liczba obiektów dostosowanych do potrzeb osób z niepełnosprawnościami (EFRR/FST/FS)</w:t>
      </w:r>
    </w:p>
    <w:p w14:paraId="02C51F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1F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1F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F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F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PROG-FESLO-17 - Liczba osób pracujących w górnictwie lub branży okołogórniczej, objętych wsparciem w programie</w:t>
      </w:r>
    </w:p>
    <w:p w14:paraId="02C51F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F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F27" w14:textId="7ECE6E26"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WLWK-PLDCR02FST - Liczba osób, które w wyniku realizacji wsparcia z zakresu</w:t>
      </w:r>
      <w:r w:rsidR="002D509E">
        <w:t xml:space="preserve"> </w:t>
      </w:r>
      <w:r>
        <w:t>outplacementu/poprawy środowiska pracy podjęły pracę lub kontynuowały zatrudnienie</w:t>
      </w:r>
    </w:p>
    <w:p w14:paraId="02C51F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PROG-FESLR-11 - Liczba utworzonych miejsc pracy w ramach udzielonych dotacji na podjęcie działalności gospodarczej</w:t>
      </w:r>
    </w:p>
    <w:p w14:paraId="02C51F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F2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5" w:name="_Toc235079853"/>
      <w:r>
        <w:rPr>
          <w:rFonts w:ascii="Calibri" w:hAnsi="Calibri" w:cs="Calibri"/>
          <w:sz w:val="32"/>
        </w:rPr>
        <w:t>Działanie FESL.10.21 Wsparcie pracowników zaangażowanych w proces transformacji</w:t>
      </w:r>
      <w:bookmarkEnd w:id="115"/>
    </w:p>
    <w:p w14:paraId="02C51F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F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F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F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F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F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4 000 000,00</w:t>
      </w:r>
    </w:p>
    <w:p w14:paraId="02C51F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F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4 000 000,00</w:t>
      </w:r>
    </w:p>
    <w:p w14:paraId="02C51F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F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140 - Wsparcie na rzecz dostosowania umiejętności i kwalifikacji zawodowych do potrzeb rynku pracy oraz na rzecz przepływów na rynku pracy</w:t>
      </w:r>
    </w:p>
    <w:p w14:paraId="02C51F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F36" w14:textId="3D97489E"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Działanie ma na celu wsparcie pracowników publicznych służb w jednym z 7 podregionów górniczych województwa śląskiego (tj. podregionu: bielskiego, bytomskiego, gliwickiego, katowickiego, rybnickiego, sosnowieckiego i tyskiego) wspierających osoby dotknięte procesem transformacji, wspierających osoby dotknięte procesem transformacji.</w:t>
      </w:r>
      <w:r>
        <w:br/>
      </w:r>
      <w:r>
        <w:br/>
        <w:t>Interwencja obejmować będzie wsparcie pracowników, realizujących zadania z zakresu promocji zatrudnienia, łagodzenia skutków bezrobocia, aktywizacji zawodowej oraz pomocy społecznej, tj.: z publicznych służb, świadczących usługi pomocy społecznej oraz zatrudnionym w instytucjach Publicznych Służb Zatrudnienia.</w:t>
      </w:r>
      <w:r>
        <w:br/>
      </w:r>
      <w:r>
        <w:br/>
        <w:t>Celem wsparcia będzie podnoszenie kwalifikacji, kompetencji i potencjału ww. pracowników oraz przygotowywanie ich do udzielania jak najwyższej jakości standardu świadczonych usług na rzecz osób dotkniętych negatywnymi skutkami procesu transformacji.</w:t>
      </w:r>
      <w:r w:rsidR="002D509E">
        <w:t xml:space="preserve"> </w:t>
      </w:r>
      <w:r>
        <w:br/>
      </w:r>
      <w:r>
        <w:br/>
        <w:t>Szkolenia oferowane w ramach projektu będą adresowane do pracowników, którzy pracują bezpośrednio z klientem, który jest dotknięty negatywnymi skutkami procesu transformacji.</w:t>
      </w:r>
      <w:r>
        <w:br/>
      </w:r>
      <w:r>
        <w:br/>
        <w:t>Projekty mogą być realizowane w formule partnerskiej, zgodnie z art. 39 „Ustawy z dnia 28 kwietnia 2022 r. o zasadach realizacji zadań finansowanych ze środków europejskich w perspektywie finansowej 2021–2027”.</w:t>
      </w:r>
      <w:r>
        <w:br/>
      </w:r>
      <w:r>
        <w:br/>
      </w:r>
      <w:r>
        <w:br/>
        <w:t>Typ projektu:</w:t>
      </w:r>
      <w:r>
        <w:br/>
      </w:r>
      <w:r>
        <w:br/>
        <w:t>Wsparcie pracowników zaangażowanych w proces transformacji:</w:t>
      </w:r>
      <w:r>
        <w:br/>
      </w:r>
      <w:r>
        <w:br/>
        <w:t>- zastosowanie działań wzmacniających potencjał pracowników zaangażowanych w proces transformacji w zakresie podnoszenia kwalifikacji/kompetencji kadr m.in. poprzez szkolenia, kursy, studia podyplomowe oraz wizyty studyjne,</w:t>
      </w:r>
      <w:r>
        <w:br/>
      </w:r>
      <w:r>
        <w:br/>
        <w:t>- zastosowanie działań wzmacniających potencjał organizacyjny I pracowników zaangażowanych w proces transformacji poprzez m.in. doradztwo, usługi prawne,</w:t>
      </w:r>
      <w:r>
        <w:br/>
      </w:r>
      <w:r>
        <w:br/>
        <w:t>- wsparcie oferowane bezpośrednio pracownikom zostanie poprzedzone diagnozą potrzeb instytucji oraz jej pracowników.</w:t>
      </w:r>
      <w:r>
        <w:br/>
      </w:r>
      <w:r>
        <w:br/>
      </w:r>
      <w:r>
        <w:br/>
      </w:r>
      <w:r>
        <w:lastRenderedPageBreak/>
        <w:t>Ze wsparcia wyłączony jest Wojewódzki Urząd Pracy w Katowicach.</w:t>
      </w:r>
      <w:r>
        <w:br/>
      </w:r>
    </w:p>
    <w:p w14:paraId="02C51F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F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F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F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1F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F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F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F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F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F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1F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F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F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F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F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1F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1F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F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F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F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F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F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Partnerzy społeczni, Przedsiębiorstwa, Przedsiębiorstwa realizujące cele publiczne, Służby publiczne</w:t>
      </w:r>
    </w:p>
    <w:p w14:paraId="02C51F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Typ beneficjenta – szczegółowy</w:t>
      </w:r>
    </w:p>
    <w:p w14:paraId="02C51F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finansowe, Instytucje integracji i pomocy społecznej, Instytucje otoczenia biznesu, Instytucje rynku pracy, Izby gospodarcze, Jednostki organizacyjne działające w imieniu jednostek samorządu terytorialnego, Jednostki Samorządu Terytorialnego, Klastry, Kościoły i związki wyznaniowe, MŚP, Niepubliczne podmioty integracji i pomocy społecznej, Organizacje pozarządowe, Organizacje zrzeszające pracodawców, Ośrodki kształcenia dorosłych, Partnerstwa instytucji pozarządowych, Partnerstwa Publiczno-Prywatne, Partnerzy gospodarczy, Podmioty ekonomii społecznej, Podmioty świadczące usługi publiczne w ramach realizacji obowiązków własnych jednostek samorządu terytorialnego, Samorządy zawodowe, Szkoły i inne placówki systemu oświaty, Uczelnie, Związki zawodowe</w:t>
      </w:r>
    </w:p>
    <w:p w14:paraId="02C51F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2C51F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pracownicy instytucji pomocy i integracji społecznej, pracownicy Publicznych Służb Zatrudnienia</w:t>
      </w:r>
    </w:p>
    <w:p w14:paraId="02C51F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F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administracja_samorządowa, instytucje_rynku_pracy, kompetencje_zawodowe, kształcenie, kształcenie_kadr, kwalifikacje, PSZ, studia_podyplomowe, szkolenia, uczelnia</w:t>
      </w:r>
    </w:p>
    <w:p w14:paraId="02C51F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F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02C51F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F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F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F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F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1F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F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PROG-FESLO-04 - Liczba osób objętych wsparciem w zakresie umiejętności cyfrowych</w:t>
      </w:r>
    </w:p>
    <w:p w14:paraId="02C51F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PROG-FESLO-03 - Liczba osób objętych wsparciem w zakresie umiejętności "zielonych"</w:t>
      </w:r>
    </w:p>
    <w:p w14:paraId="02C51F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PROG-FESLO-17 - Liczba osób pracujących w górnictwie lub branży okołogórniczej, objętych wsparciem w programie</w:t>
      </w:r>
    </w:p>
    <w:p w14:paraId="02C51F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F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WLWK-PLGCR01FST - Liczba osób, które uzyskały kwalifikacje cyfrowe po opuszczeniu programu</w:t>
      </w:r>
    </w:p>
    <w:p w14:paraId="02C51F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F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WLWK-PLDGCR04FST - Liczba osób, które uzyskały zielone kwalifikacje po opuszczeniu programu</w:t>
      </w:r>
    </w:p>
    <w:p w14:paraId="02C51F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F63"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6" w:name="_Toc235079854"/>
      <w:r>
        <w:rPr>
          <w:rFonts w:ascii="Calibri" w:hAnsi="Calibri" w:cs="Calibri"/>
          <w:sz w:val="32"/>
        </w:rPr>
        <w:t>Działanie FESL.10.22 Regionalne Obserwatorium Procesu Transformacji - FST</w:t>
      </w:r>
      <w:bookmarkEnd w:id="116"/>
    </w:p>
    <w:p w14:paraId="02C51F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F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F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1F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1F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F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5 500 000,00</w:t>
      </w:r>
    </w:p>
    <w:p w14:paraId="02C51F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F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5 500 000,00</w:t>
      </w:r>
    </w:p>
    <w:p w14:paraId="02C51F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F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170 - Zwiększenie zdolności instytucji programu oraz podmiotów związanych z wdrażaniem Funduszy</w:t>
      </w:r>
    </w:p>
    <w:p w14:paraId="02C51F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F6F" w14:textId="2D5EC48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Wsparcie będzie udzielane w ramach określonych kierunków działań, tj. Rozwijanie wiedzy i umiejętności na rzecz sprawiedliwej transformacji. </w:t>
      </w:r>
      <w:r>
        <w:br/>
      </w:r>
      <w:r>
        <w:br/>
        <w:t>Jednym z celów Terytorialnego Planu Sprawiedliwej Transformacji dla Województwa Śląskiego do 2030 roku jest rozbudowa efektywnego i społecznie odpowiedzialnego systemu zarządzania transformacją w podregionach górniczych.</w:t>
      </w:r>
      <w:r>
        <w:br/>
      </w:r>
      <w:r>
        <w:br/>
        <w:t>W celu zapewnienia spójności z</w:t>
      </w:r>
      <w:r w:rsidR="002D509E">
        <w:t xml:space="preserve"> </w:t>
      </w:r>
      <w:r>
        <w:t>założeniami TPST, tj. efektywnego i skutecznego procesu sprawiedliwej transformacji w województwie śląskim, niezbędnym jest wzmocnienie potencjału instytucjonalnego oraz podniesienie kompetencji zaangażowanych stron i interesariuszy w prowadzeniu tego procesu wyłącznie w 7 podregionach górniczych kwalifikujących do wsparcia, tj. podregionu bielskiego, bytomskiego, gliwickiego, katowickiego, rybnickiego, sosnowieckiego i tyskiego.</w:t>
      </w:r>
      <w:r>
        <w:br/>
      </w:r>
      <w:r>
        <w:br/>
        <w:t xml:space="preserve">W związku z powyższym realizowane będą działania mające na celu wzmocnienie umiejętności i zdolności społecznych i zarządczych dla przeprowadzenia sprawiedliwej transformacji w województwie </w:t>
      </w:r>
      <w:r>
        <w:lastRenderedPageBreak/>
        <w:t>śląskim, poprzez zwiększenie potencjału instytucjonalnego w regionie, budowę kompleksowego systemu monitorowania procesów transformacyjnych oraz wielopoziomową współpracę i dialog wszystkich zainteresowanych i zaangażowanych stron.</w:t>
      </w:r>
      <w:r>
        <w:br/>
        <w:t>Powyższe będzie miało bezpośredni wpływ na podnoszenie kompetencji i pogłębianie wiedzy, a przede wszystkim zwiększanie świadomości uczestników procesu odnośnie realizowanych działań, mających na celu dążenie do gospodarki neutralnej dla klimatu z uwzględnieniem dobrostanu społeczności lokalnych.</w:t>
      </w:r>
      <w:r>
        <w:br/>
      </w:r>
      <w:r>
        <w:br/>
        <w:t>Planowane typy operacji:</w:t>
      </w:r>
      <w:r>
        <w:br/>
        <w:t xml:space="preserve"> </w:t>
      </w:r>
      <w:r>
        <w:br/>
        <w:t>1)</w:t>
      </w:r>
      <w:r>
        <w:tab/>
        <w:t>Wzmocnienie potencjału interesariuszy na rzecz skutecznego zarządzania procesem transformacji i jego wdrażania w wymiarze gospodarczym, społecznym i środowiskowym poprzez działania innowacyjne/pilotażowe.</w:t>
      </w:r>
      <w:r>
        <w:br/>
        <w:t>2)</w:t>
      </w:r>
      <w:r>
        <w:tab/>
        <w:t xml:space="preserve">Monitorowanie i ocena procesu sprawiedliwej transformacji we współpracy </w:t>
      </w:r>
      <w:r>
        <w:br/>
        <w:t xml:space="preserve">z wszystkimi podmiotami dotkniętymi skutkami transformacji, w tym realizacja działań diagnostycznych, analitycznych, foresightowych </w:t>
      </w:r>
      <w:r>
        <w:br/>
        <w:t>i monitoringowych w zakresie planowania i prowadzenia procesu sprawiedliwej transformacji, w tym benchmarking rozwiązań krajowych, europejskich i międzynarodowych.</w:t>
      </w:r>
      <w:r>
        <w:br/>
        <w:t>3)</w:t>
      </w:r>
      <w:r>
        <w:tab/>
        <w:t xml:space="preserve">Wzmocnienie sieciowania i nawiązywanie współpracy między stronami procesu transformacji, jak również promocja partycypacyjnego modelu prowadzenia transformacji. </w:t>
      </w:r>
      <w:r>
        <w:br/>
      </w:r>
      <w:r>
        <w:br/>
        <w:t>Projekt będzie realizowany przez Samorząd Województwa Śląskiego w Partnerstwie z:</w:t>
      </w:r>
      <w:r>
        <w:br/>
      </w:r>
      <w:r>
        <w:br/>
        <w:t>•</w:t>
      </w:r>
      <w:r>
        <w:tab/>
        <w:t>związkami zawodowymi,</w:t>
      </w:r>
      <w:r>
        <w:br/>
        <w:t>•</w:t>
      </w:r>
      <w:r>
        <w:tab/>
        <w:t>jednostkami naukowymi,</w:t>
      </w:r>
      <w:r>
        <w:br/>
        <w:t>•</w:t>
      </w:r>
      <w:r>
        <w:tab/>
        <w:t>uczelniami,</w:t>
      </w:r>
      <w:r>
        <w:br/>
        <w:t>•</w:t>
      </w:r>
      <w:r>
        <w:tab/>
        <w:t>organizacjami samorządu gospodarczego, w tym izbami gospodarczymi,</w:t>
      </w:r>
      <w:r>
        <w:br/>
        <w:t>•</w:t>
      </w:r>
      <w:r>
        <w:tab/>
        <w:t>organizacjami pozarządowymi i/lub ich związkami,</w:t>
      </w:r>
      <w:r>
        <w:br/>
        <w:t>•</w:t>
      </w:r>
      <w:r>
        <w:tab/>
        <w:t>podmiotami działającymi na podstawie ustawy z dnia 20 października 1994 r. o specjalnych strefach ekonomicznych.</w:t>
      </w:r>
      <w:r>
        <w:br/>
      </w:r>
      <w:r>
        <w:br/>
        <w:t>Przedsięwzięcie planowane do realizacji jest ujęte w załączniku do Kontraktu Programowego dla Województwa Śląskiego pn. Regionalne Obserwatorium Procesu Transformacji.</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Projekt będzie miał pozytywny wpływ na zasadę równości kobiet i mężczyzn, zasadę równości szans i niedyskryminacji, w tym dostępności dla osób z niepełnosprawnościami, zrównoważonego rozwoju.</w:t>
      </w:r>
    </w:p>
    <w:p w14:paraId="02C51F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F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F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1F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F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F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F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F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1F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F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1F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F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F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F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F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F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1F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F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F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F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Partnerstwa</w:t>
      </w:r>
    </w:p>
    <w:p w14:paraId="02C51F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F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dialog_społeczny, jednostka_naukowa, kadra_uczelni, ochrona_środowiska, odnawialne_źródła_energii, partnerstwo, sprawiedliwa_transformacja, tereny_poprzemysłowe, transformacja, transformacja_cyfrowa</w:t>
      </w:r>
    </w:p>
    <w:p w14:paraId="02C51F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F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F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F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F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WLWK-PLRO199 - Liczba projektów, w których sfinansowano koszty racjonalnych usprawnień dla osób z niepełnosprawnościami (EFRR/FST/FS)</w:t>
      </w:r>
    </w:p>
    <w:p w14:paraId="02C51F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C51F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WLWK-RCO004 - Przedsiębiorstwa otrzymujące wsparcie niefinansowe</w:t>
      </w:r>
    </w:p>
    <w:p w14:paraId="02C51F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PROG-FESLO-24 - Liczba aktywnie działających obserwatoriów procesu transformacji</w:t>
      </w:r>
    </w:p>
    <w:p w14:paraId="02C51F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PROG-FESLO-25 - Liczba podmiotów współpracujących w ramach Regionalnego Obserwatorium Procesu Transformacji</w:t>
      </w:r>
    </w:p>
    <w:p w14:paraId="02C51F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F90" w14:textId="4677AECC"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WLWK-PLRR065 - Liczba udzielonych konsultacji w zakresie działań sprzyjających neutralności klimatycznej</w:t>
      </w:r>
      <w:r w:rsidR="002D509E">
        <w:t xml:space="preserve"> </w:t>
      </w:r>
    </w:p>
    <w:p w14:paraId="02C51F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PROG-FESLR-19 - Liczba inicjatyw wzmacniających wymianę wiedzy i doświadczeń pomiędzy interesariuszami procesu transformacji</w:t>
      </w:r>
    </w:p>
    <w:p w14:paraId="02C51F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F93"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7" w:name="_Toc235079855"/>
      <w:r>
        <w:rPr>
          <w:rFonts w:ascii="Calibri" w:hAnsi="Calibri" w:cs="Calibri"/>
          <w:sz w:val="32"/>
        </w:rPr>
        <w:t>Działanie FESL.10.23 Edukacja zawodowa w procesie sprawiedliwej transformacji regionu</w:t>
      </w:r>
      <w:bookmarkEnd w:id="117"/>
    </w:p>
    <w:p w14:paraId="02C51F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F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F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F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44 444 445,00</w:t>
      </w:r>
    </w:p>
    <w:p w14:paraId="02C51F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F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40 000 000,00</w:t>
      </w:r>
    </w:p>
    <w:p w14:paraId="02C51F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F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149 - Wsparcie na rzecz szkolnictwa podstawowego i średniego (z wyłączeniem infrastruktury)</w:t>
      </w:r>
    </w:p>
    <w:p w14:paraId="02C51F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F9D" w14:textId="7CDF012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Przewiduje się realizację następujących rodzajów działań/typów projektów:</w:t>
      </w:r>
      <w:r>
        <w:br/>
        <w:t>1.</w:t>
      </w:r>
      <w:r>
        <w:tab/>
        <w:t>Upowszechnianie i rozwój kształcenia zawodowego zgodnie z potrzebami transformacji regionu</w:t>
      </w:r>
      <w:r>
        <w:br/>
        <w:t>2.</w:t>
      </w:r>
      <w:r>
        <w:tab/>
        <w:t>Wsparcie placówek kształcenia zawodowego</w:t>
      </w:r>
      <w:r w:rsidR="002D509E">
        <w:t xml:space="preserve"> </w:t>
      </w:r>
      <w:r>
        <w:t>w</w:t>
      </w:r>
      <w:r w:rsidR="002D509E">
        <w:t xml:space="preserve"> </w:t>
      </w:r>
      <w:r>
        <w:t>zmianie profilu nauczania</w:t>
      </w:r>
      <w:r>
        <w:br/>
      </w:r>
      <w:r>
        <w:lastRenderedPageBreak/>
        <w:t>3.</w:t>
      </w:r>
      <w:r>
        <w:tab/>
        <w:t>Współpraca szkół kształcenia zawodowego z uczelniami wyższymi oraz pracodawcami.</w:t>
      </w:r>
      <w:r>
        <w:br/>
        <w:t xml:space="preserve">Typ 1: Upowszechnianie i rozwój kształcenia zawodowego zgodnie z potrzebami transformacji regionu. </w:t>
      </w:r>
      <w:r>
        <w:br/>
        <w:t xml:space="preserve">Upowszechnianie i rozwój wysokiej jakości kształcenia zawodowego, zgodnie z potrzebami rynku pracy z ukierunkowaniem na branże rozwojowe (w tym RSI, PRT)Wsparcie polega na podnoszeniu, zmianie lub aktualizacji nowych kwalifikacji, kompetencji w formie m.in.: </w:t>
      </w:r>
      <w:r>
        <w:br/>
        <w:t>a.</w:t>
      </w:r>
      <w:r>
        <w:tab/>
        <w:t xml:space="preserve">szkoleń, kursów dla uczniów i nauczycieli praktycznej nauki zawodu, </w:t>
      </w:r>
      <w:r>
        <w:br/>
        <w:t>b.</w:t>
      </w:r>
      <w:r>
        <w:tab/>
        <w:t xml:space="preserve">staży i praktyk (w tym zagranicznych) dla uczniów, </w:t>
      </w:r>
      <w:r>
        <w:br/>
        <w:t>c.</w:t>
      </w:r>
      <w:r>
        <w:tab/>
        <w:t>doradztwa i poradnictwa zawodowego</w:t>
      </w:r>
      <w:r w:rsidR="002D509E">
        <w:t xml:space="preserve"> </w:t>
      </w:r>
      <w:r>
        <w:t>dla uczniów,</w:t>
      </w:r>
      <w:r>
        <w:br/>
        <w:t>d.</w:t>
      </w:r>
      <w:r>
        <w:tab/>
        <w:t>wsparcia praktycznej nauki zawodu ( w tym doposażanie sal nauki, etc.) oraz</w:t>
      </w:r>
      <w:r w:rsidR="002D509E">
        <w:t xml:space="preserve"> </w:t>
      </w:r>
      <w:r>
        <w:t>tworzeniu</w:t>
      </w:r>
      <w:r w:rsidR="002D509E">
        <w:t xml:space="preserve"> </w:t>
      </w:r>
      <w:r>
        <w:t>wirtualnych pracowni, w kierunku zielonej i cyfrowej gospodarki.</w:t>
      </w:r>
      <w:r>
        <w:br/>
        <w:t>Typ 2: Wsparcie placówek kształcenia zawodowego</w:t>
      </w:r>
      <w:r w:rsidR="002D509E">
        <w:t xml:space="preserve"> </w:t>
      </w:r>
      <w:r>
        <w:t>w</w:t>
      </w:r>
      <w:r w:rsidR="002D509E">
        <w:t xml:space="preserve"> </w:t>
      </w:r>
      <w:r>
        <w:t xml:space="preserve">zmianie profilu nauczania. </w:t>
      </w:r>
      <w:r>
        <w:br/>
        <w:t>Wsparcie kierowane do placówek kształcenia zawodowego (branżowego, technicznego, szkół artystycznych którego celem jest:</w:t>
      </w:r>
      <w:r>
        <w:br/>
        <w:t>a.</w:t>
      </w:r>
      <w:r>
        <w:tab/>
        <w:t xml:space="preserve">utworzenie nowego kierunku kształcenia w szkole. </w:t>
      </w:r>
      <w:r>
        <w:br/>
        <w:t>b.</w:t>
      </w:r>
      <w:r>
        <w:tab/>
        <w:t>zmiana lub dostosowanie istniejącego profilu/kierunku kształcenia na kierunki zgodne z regionalnymi inteligentnymi oraz technologicznymi specjalizacjami, z uwzględnieniem potencjału lokalnych rynków pracy oraz zielonej i cyfrowej gospodarki oraz konieczności zwiększania zainteresowania kierunkami niestereotypowymi dla danej płci, zwłaszcza włączania młodych dziewcząt w kierunki techniczne, innowacyjne, STEM.</w:t>
      </w:r>
      <w:r>
        <w:br/>
        <w:t xml:space="preserve">Typ 3: Współpraca szkół kształcenia zawodowego z uczelniami wyższymi oraz pracodawcami. </w:t>
      </w:r>
      <w:r>
        <w:br/>
        <w:t>Wsparcie kierowane do placówek kształcenia zawodowego (branżowego, technicznego, szkół artystycznych), którego celem jest: poszerzenie oferty edukacyjnej szkół o zajęcia realizowane np. u przedsiębiorców, pracodawców i na uczelniach wyższych.</w:t>
      </w:r>
      <w:r>
        <w:br/>
        <w:t>Mieszkańcy, osoby uczące się lub pracujące na obszarze jednego z 7 podregionów województwa śląskiego wskazanych w Terytorialnym Planie Sprawiedliwej Transformacji.</w:t>
      </w:r>
      <w:r>
        <w:br/>
        <w:t>Docelowy poziom wkładu własnego i budżetu państwa zostanie określony w regulaminie wyboru projektów.</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F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F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2C51F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F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F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F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F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F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02C51F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F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stawka jednostkowa w oparciu o metodykę IZ [art. 53(3)(a) CPR], uproszczona metoda rozliczania wydatków w oparciu o projekt budżetu [art. 53(3)(b) CPR]</w:t>
      </w:r>
    </w:p>
    <w:p w14:paraId="02C51F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F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F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F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F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F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F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F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F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F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F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F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Przedsiębiorstwa</w:t>
      </w:r>
    </w:p>
    <w:p w14:paraId="02C51F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F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doradztwo_zawodowe, kształcenie_kadr, kształcenie_zawodowe, kurs, kwalifikacje, staże, szkolenia</w:t>
      </w:r>
    </w:p>
    <w:p w14:paraId="02C51F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F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F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F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https://funduszeue.slaskie.pl/web/guest/kryteria-wyboru</w:t>
      </w:r>
    </w:p>
    <w:p w14:paraId="02C51F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F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02C51F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02C51F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WLWK-PLFCO09FST - Liczba dzieci lub uczniów o specjalnych potrzebach rozwojowych i edukacyjnych, którzy zostali objęci usługami asystenta</w:t>
      </w:r>
    </w:p>
    <w:p w14:paraId="02C51F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WLWK-PLFCO08FST - Liczba dzieci/uczniów o specjalnych potrzebach rozwojowych i edukacyjnych, objętych wsparciem</w:t>
      </w:r>
    </w:p>
    <w:p w14:paraId="02C51F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1F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WLWK-PLFCO10FST - Liczba obiektów edukacyjnych dostosowanych do potrzeb osób z niepełnosprawnościami </w:t>
      </w:r>
    </w:p>
    <w:p w14:paraId="02C51F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WLWK-PLECO01FST - Liczba podmiotów objętych wsparciem w celu zwiększenia jakości i efektywności systemu kształcenia i szkolenia</w:t>
      </w:r>
    </w:p>
    <w:p w14:paraId="02C51F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F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WLWK-PLFCO14FST - Liczba przedstawicieli kadr szkół i placówek systemu oświaty objętych wsparciem świadczonym przez szkoły ćwiczeń</w:t>
      </w:r>
    </w:p>
    <w:p w14:paraId="02C51F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WLWK-PLFCO06FST - Liczba przedstawicieli kadry szkół i placówek systemu oświaty objętych wsparciem</w:t>
      </w:r>
    </w:p>
    <w:p w14:paraId="02C51F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WLWK-PLFCO07FST - Liczba szkół i placówek systemu oświaty objętych wsparciem</w:t>
      </w:r>
    </w:p>
    <w:p w14:paraId="02C51F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WLWK-PLFCO04FST - Liczba uczniów i słuchaczy szkół i placówek kształcenia zawodowego objętych wsparciem</w:t>
      </w:r>
    </w:p>
    <w:p w14:paraId="02C51F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WLWK-PLEFCO05FST - Liczba uczniów szkół i placówek kształcenia zawodowego uczestniczących w stażach uczniowskich</w:t>
      </w:r>
    </w:p>
    <w:p w14:paraId="02C51F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WLWK-PLFCO13FST - Liczba uczniów uczestniczących w doradztwie zawodowym</w:t>
      </w:r>
    </w:p>
    <w:p w14:paraId="02C51F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F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1F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WLWK-PLDGCR04FST - Liczba osób, które uzyskały zielone kwalifikacje po opuszczeniu programu</w:t>
      </w:r>
    </w:p>
    <w:p w14:paraId="02C51F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WLWK-PLFCR02FST - Liczba przedstawicieli kadry szkół i placówek systemu oświaty, którzy uzyskali kwalifikacje po opuszczeniu programu</w:t>
      </w:r>
    </w:p>
    <w:p w14:paraId="02C51F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WLWK-PLRR007 - Liczba rozwiązań informatycznych i technologicznych w ramach współpracy międzysektorowej</w:t>
      </w:r>
    </w:p>
    <w:p w14:paraId="02C51F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WLWK-PLFCR01FST - Liczba uczniów, którzy nabyli kwalifikacje po opuszczeniu programu</w:t>
      </w:r>
    </w:p>
    <w:p w14:paraId="02C51F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1FD0"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8" w:name="_Toc235079856"/>
      <w:r>
        <w:rPr>
          <w:rFonts w:ascii="Calibri" w:hAnsi="Calibri" w:cs="Calibri"/>
          <w:sz w:val="32"/>
        </w:rPr>
        <w:lastRenderedPageBreak/>
        <w:t>Działanie FESL.10.24 Włączenie społeczne - wzmocnienie procesu sprawiedliwej transformacji</w:t>
      </w:r>
      <w:bookmarkEnd w:id="118"/>
    </w:p>
    <w:p w14:paraId="02C51F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1F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1F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1F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40 000 000,00</w:t>
      </w:r>
    </w:p>
    <w:p w14:paraId="02C51F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1F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36 000 000,00</w:t>
      </w:r>
    </w:p>
    <w:p w14:paraId="02C51F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1F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143 - Działania promujące równowagę między życiem zawodowym a prywatnym obejmujące dostęp do opieki nad dziećmi i osobami niesamodzielnymi, 163 - Promowanie integracji społecznej osób zagrożonych ubóstwem lub wykluczeniem społecznym, w tym osób najbardziej potrzebujących i dzieci</w:t>
      </w:r>
    </w:p>
    <w:p w14:paraId="02C51F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1FDA" w14:textId="0EAC33D1"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Przeprowadzenie procesu transformacji w sposób skuteczny i sprawiedliwy wymaga objęcia wsparciem całych społeczności lokalnych dotkniętych zmianami</w:t>
      </w:r>
      <w:r w:rsidR="002D509E">
        <w:t xml:space="preserve"> </w:t>
      </w:r>
      <w:r>
        <w:t>tj. osób zamieszkujących, uczących się lub pracujących na obszarze jednego z 7 podregionów województwa śląskiego określonych w Terytorialnym Planie Sprawiedliwej Transformacji (TPST).</w:t>
      </w:r>
      <w:r>
        <w:br/>
        <w:t>W ramach Działania planuje się zwiększenie poziomu aktywności społeczności uczestniczących w procesie sprawiedliwej transformacji, poprzez realizację następującego typu projektu:</w:t>
      </w:r>
      <w:r>
        <w:br/>
        <w:t>Typ 1. Działania na rzecz mieszkańców i obszarów uczestniczących w procesie sprawiedliwej</w:t>
      </w:r>
      <w:r w:rsidR="002D509E">
        <w:t xml:space="preserve"> </w:t>
      </w:r>
      <w:r>
        <w:t>transformacji. Zakres merytoryczny obejmować będzie m.in:</w:t>
      </w:r>
      <w:r w:rsidR="002D509E">
        <w:t xml:space="preserve"> </w:t>
      </w:r>
      <w:r>
        <w:br/>
        <w:t>a.</w:t>
      </w:r>
      <w:r>
        <w:tab/>
        <w:t>programy, działania i inicjatywy lokalne (oddolne) służące poprawie jakości życia, rozwojowi aktywności społecznej i akceptacji dla procesu transformacji i zmiany klimatycznej z wykorzystaniem potencjału lokalnego</w:t>
      </w:r>
      <w:r w:rsidR="002D509E">
        <w:t xml:space="preserve"> </w:t>
      </w:r>
      <w:r>
        <w:br/>
        <w:t>b.</w:t>
      </w:r>
      <w:r>
        <w:tab/>
        <w:t xml:space="preserve">rozwiązywanie problemów społecznych na danym obszarze, wsparcie grup najbardziej dotkniętych transformacją </w:t>
      </w:r>
      <w:r>
        <w:br/>
        <w:t>c.</w:t>
      </w:r>
      <w:r>
        <w:tab/>
        <w:t xml:space="preserve">zachowanie tożsamości lokalnej i regionalnej oraz więzi z historią i dziedzictwem przemysłowym, w tym zachowanie tożsamości społeczności górniczych i zadbanie o ciągłość minionych i przyszłych społeczności ze zwróceniem szczególnej uwagi na ich materialne i niematerialne dziedzictwo górnicze, w tym kulturę </w:t>
      </w:r>
      <w:r>
        <w:br/>
        <w:t>d.</w:t>
      </w:r>
      <w:r>
        <w:tab/>
        <w:t>animację mieszkańców danego obszaru w procesie zmiany społecznej, gospodarczej i środowiskowej</w:t>
      </w:r>
      <w:r>
        <w:br/>
      </w:r>
      <w:r>
        <w:lastRenderedPageBreak/>
        <w:t>e.</w:t>
      </w:r>
      <w:r>
        <w:tab/>
        <w:t>działania promujące równowagę między życiem zawodowym a prywatnym, obejmujące opiekę nad osobami potrzebującymi wsparcia w codziennym funkcjonowaniu i dziećmi, w tym zatrudnienie niań oraz opiekunek/-ów</w:t>
      </w:r>
      <w:r w:rsidR="002D509E">
        <w:t xml:space="preserve"> </w:t>
      </w:r>
      <w:r>
        <w:br/>
        <w:t>f.</w:t>
      </w:r>
      <w:r>
        <w:tab/>
        <w:t>kreowanie, promocja miejsc, przestrzeni produktów lokalnych czy wydarzeń określających tożsamości lokalne/regionalne</w:t>
      </w:r>
      <w:r>
        <w:br/>
        <w:t>g.</w:t>
      </w:r>
      <w:r>
        <w:tab/>
        <w:t xml:space="preserve">tworzenie miejsc spotkań służących integracji mieszkańców danego obszaru np. kluby osiedlowe, miejsca spotkań seniorów, młodzieży </w:t>
      </w:r>
      <w:r>
        <w:br/>
        <w:t>h.</w:t>
      </w:r>
      <w:r>
        <w:tab/>
        <w:t>promowanie zdrowego trybu życia, w tym działania o charakterze sportowym, rekreacyjnym, krajoznawczym (uzupełniająco, w powiązaniu z pozostałymi formami wsparcia)</w:t>
      </w:r>
      <w:r>
        <w:br/>
        <w:t>i.</w:t>
      </w:r>
      <w:r>
        <w:tab/>
        <w:t>przeciwdziałanie ubóstwu energetycznemu, działania edukacyjne i świadomościowe z zakresu zielonej gospodarki, ekologii</w:t>
      </w:r>
      <w:r>
        <w:br/>
        <w:t xml:space="preserve">j. </w:t>
      </w:r>
      <w:r>
        <w:tab/>
        <w:t>działania na rzecz zaangażowania społeczeństwa obywatelskiego w proces transformacji regionu ze szczególnym uwzględnieniem roli kobiet (działania na rzecz włączenia kobiet w transformację regionu, wsparcie i promocja roli kobiet w procesie transformacji, działania poświęcone budowaniu potencjału kobiet jako lokalnych liderek, działaczek i animatorek)</w:t>
      </w:r>
      <w:r>
        <w:br/>
        <w:t>k.</w:t>
      </w:r>
      <w:r>
        <w:tab/>
        <w:t>wzmocnienie potencjału podmiotów III sektora działających na obszarze i na rzecz transformacji poprzez: podnoszenie kwalifikacji i kompetencji członków organizacji, wolontariuszy i obywateli pracujących na rzecz NGO, wsparcie rozwoju instytucjonalnego, działania świadomościowe i promocja idei społeczeństwa obywatelskiego w środowisku lokalnym (uzupełniająco, w powiązaniu z pozostałymi formami wsparcia)</w:t>
      </w:r>
      <w:r>
        <w:br/>
        <w:t>l.</w:t>
      </w:r>
      <w:r w:rsidR="002D509E">
        <w:t xml:space="preserve"> </w:t>
      </w:r>
      <w:r>
        <w:t>działania na rzecz świadomego udziału mieszkańców w zmianie klimatycznej i transformacji</w:t>
      </w:r>
      <w:r>
        <w:br/>
        <w:t>m.</w:t>
      </w:r>
      <w:r w:rsidR="002D509E">
        <w:t xml:space="preserve"> </w:t>
      </w:r>
      <w:r>
        <w:t>działania na rzecz wzmocnienia systemu odporności mieszkańców.</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1F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1F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2C51F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1F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1F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1F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1F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1F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02C51F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1F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1F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1F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1F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1F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1F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1F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1F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1F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1F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1F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1F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1F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Partnerzy społeczni, Przedsiębiorstwa, Służby publiczne</w:t>
      </w:r>
    </w:p>
    <w:p w14:paraId="02C51F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1F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adaptacja_do_zmian_klimatu, aktywizacja_kobiet, dialog_obywatelski, dziedzictwo_kulturowe, edukacja_ekologiczna, edukacja_klimatyczna, integracja_społeczna, lokalne_inicjatywy, neutralność_klimatyczna, regiony_górnicze</w:t>
      </w:r>
    </w:p>
    <w:p w14:paraId="02C51F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1F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1F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1F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1F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1F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02C51F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WLWK-PLRO132 - Liczba obiektów dostosowanych do potrzeb osób z niepełnosprawnościami (EFRR/FST/FS)</w:t>
      </w:r>
    </w:p>
    <w:p w14:paraId="02C51F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1F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PROG-FESLO-21 - Liczba kobiet objętych działaniami podnoszącymi wiedzę i świadomość na temat zarządzania różnorodnością, wsparcia kompetencji managerskich kobiet</w:t>
      </w:r>
    </w:p>
    <w:p w14:paraId="02C51FFC" w14:textId="3AE241EF"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PROG-FESLO-20 - Liczba osób objętych działaniami edukacyjnymi i świadomościowymi związanymi</w:t>
      </w:r>
      <w:r w:rsidR="002D509E">
        <w:t xml:space="preserve"> </w:t>
      </w:r>
      <w:r>
        <w:t>z transformacją regionu</w:t>
      </w:r>
    </w:p>
    <w:p w14:paraId="02C51F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PROG-FESLO-19 - Liczba osób w wieku 15-29 lat objętych wsparciem w programie</w:t>
      </w:r>
    </w:p>
    <w:p w14:paraId="02C51F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1F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WLWK-PLTR001 - Liczba inicjatyw lokalnych </w:t>
      </w:r>
    </w:p>
    <w:p w14:paraId="02C520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PROG-FESLR-09 - Liczba utworzonych miejsc spotkań służących integracji mieszkańców danego obszaru</w:t>
      </w:r>
    </w:p>
    <w:p w14:paraId="02C520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PROG-FESLR-10 - Liczba wspartych podmiotów III sektora działających na obszarze i na rzecz transformacji</w:t>
      </w:r>
    </w:p>
    <w:p w14:paraId="02C520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PROG-FESLR-22 - Liczba zrealizowanych przedsięwzięć promujących sprawiedliwą transformację</w:t>
      </w:r>
    </w:p>
    <w:p w14:paraId="02C520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004"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9" w:name="_Toc235079857"/>
      <w:r>
        <w:rPr>
          <w:rFonts w:ascii="Calibri" w:hAnsi="Calibri" w:cs="Calibri"/>
          <w:sz w:val="32"/>
        </w:rPr>
        <w:t>Działanie FESL.10.25 Rozwój kształcenia wyższego zgodnie z potrzebami zielonej gospodarki</w:t>
      </w:r>
      <w:bookmarkEnd w:id="119"/>
    </w:p>
    <w:p w14:paraId="02C520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0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20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0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36 388 889,00</w:t>
      </w:r>
    </w:p>
    <w:p w14:paraId="02C520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0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32 750 000,00</w:t>
      </w:r>
    </w:p>
    <w:p w14:paraId="02C520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0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150 - Wsparcie na rzecz szkolnictwa wyższego (z wyłączeniem infrastruktury)</w:t>
      </w:r>
    </w:p>
    <w:p w14:paraId="02C520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00E" w14:textId="793F1B99"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operacji:</w:t>
      </w:r>
      <w:r>
        <w:br/>
      </w:r>
      <w:r>
        <w:lastRenderedPageBreak/>
        <w:t>Przewiduje się realizację następujących rodzajów działań/typów projektów:</w:t>
      </w:r>
      <w:r>
        <w:br/>
        <w:t>1.</w:t>
      </w:r>
      <w:r>
        <w:tab/>
        <w:t>Wsparcie biur karier przy uczelniach wyższych</w:t>
      </w:r>
      <w:r>
        <w:br/>
        <w:t>2.</w:t>
      </w:r>
      <w:r>
        <w:tab/>
        <w:t xml:space="preserve">Działania na rzecz rozwoju kadr naukowych z uwzględnieniem doktoratów (w tym wdrożeniowych) i szkół doktorskich, w szczególności na kierunkach zielonej i cyfrowej gospodarki </w:t>
      </w:r>
      <w:r>
        <w:tab/>
      </w:r>
      <w:r>
        <w:br/>
        <w:t>3.</w:t>
      </w:r>
      <w:r>
        <w:tab/>
        <w:t xml:space="preserve">Wsparcie transferu wiedzy i technologii, w szczególności w zakresie zielonej i cyfrowej gospodarki </w:t>
      </w:r>
      <w:r>
        <w:br/>
        <w:t>4.</w:t>
      </w:r>
      <w:r>
        <w:tab/>
        <w:t>Podniesienie atrakcyjności uczelni wyższych</w:t>
      </w:r>
      <w:r>
        <w:br/>
        <w:t>5.</w:t>
      </w:r>
      <w:r>
        <w:tab/>
        <w:t>Wsparcie uczniów szkół ponadpodstawowych przez szkoły wyższe</w:t>
      </w:r>
      <w:r>
        <w:br/>
      </w:r>
      <w:r>
        <w:br/>
        <w:t>Typ 1: Wsparcie biur karier przy uczelniach wyższych</w:t>
      </w:r>
      <w:r>
        <w:br/>
        <w:t>Wsparcie obejmuje m. in.:</w:t>
      </w:r>
      <w:r>
        <w:br/>
        <w:t>•</w:t>
      </w:r>
      <w:r>
        <w:tab/>
        <w:t>Rozwój działalności biur karier</w:t>
      </w:r>
      <w:r>
        <w:br/>
        <w:t>•</w:t>
      </w:r>
      <w:r>
        <w:tab/>
        <w:t xml:space="preserve">Kompleksowe wsparcie studentów i absolwentów uczelni wyższych w zakresie m.in. wytyczenia ścieżki zawodowej oraz odnalezienia się na rynku pracy. </w:t>
      </w:r>
      <w:r>
        <w:br/>
        <w:t>Typ 2: Działania na rzecz rozwoju kadr naukowych z uwzględnieniem doktoratów (w tym wdrożeniowych) i szkół doktorskich, w szczególności na kierunkach zielonej i cyfrowej gospodarki</w:t>
      </w:r>
      <w:r>
        <w:br/>
        <w:t>Działania kierowane do uczelni wyższych, których celem jest</w:t>
      </w:r>
      <w:r w:rsidR="002D509E">
        <w:t xml:space="preserve"> </w:t>
      </w:r>
      <w:r>
        <w:t>wsparcie: kadr naukowych i doktoratów (w tym wdrożeniowych) oraz szkół doktorskich w szczególności na kierunkach zielonej i cyfrowej gospodarki, działalności naukowej doktorantów niezbędnej do realizacji pracy doktorskiej (w tym m.in. badania, publikacje, wynagrodzenie opiekuna, tłumaczenia, udział w konferencjach, koszty wyjazdów, noclegów, wsparcie z zakresu przedsiębiorczości).</w:t>
      </w:r>
      <w:r>
        <w:br/>
        <w:t>Typ 3: Wsparcie transferu wiedzy i technologii, w szczególności w zakresie zielonej i cyfrowej gospodarki</w:t>
      </w:r>
      <w:r>
        <w:br/>
        <w:t>Wsparcie może obejmować m.in.:</w:t>
      </w:r>
      <w:r>
        <w:br/>
        <w:t>a)</w:t>
      </w:r>
      <w:r>
        <w:tab/>
        <w:t xml:space="preserve">Staże (w tym zagraniczne), szkolenia praktyczne i wizyty studyjne dla </w:t>
      </w:r>
      <w:r>
        <w:br/>
        <w:t xml:space="preserve">• pracowników przedsiębiorstw w jednostkach naukowych, </w:t>
      </w:r>
      <w:r>
        <w:br/>
        <w:t xml:space="preserve">• pracowników jednostek naukowych oraz uczelni w przedsiębiorstwach, </w:t>
      </w:r>
      <w:r>
        <w:br/>
        <w:t>b)</w:t>
      </w:r>
      <w:r>
        <w:tab/>
        <w:t>Wsparcie dla przedsiębiorstw obejmujące szkolenia i/lub doradztwo dla pracowników przedsiębiorstw prowadzone przez (lub z udziałem) pracowników naukowych jednostek naukowych i uczelni ukierunkowane na wdrożenie przedsięwzięć innowacyjnych w przedsiębiorstwach,</w:t>
      </w:r>
      <w:r>
        <w:br/>
        <w:t>c)</w:t>
      </w:r>
      <w:r>
        <w:tab/>
        <w:t>Wsparcie współpracy między jednostkami naukowymi a przedsiębiorcami w zakresie innowacji i transferu technologii obejmujące wypracowanie konkretnych efektów wdrożeniowych,</w:t>
      </w:r>
      <w:r>
        <w:br/>
        <w:t>d)</w:t>
      </w:r>
      <w:r>
        <w:tab/>
        <w:t>komercjalizacja wiedzy i technologii.</w:t>
      </w:r>
      <w:r>
        <w:br/>
        <w:t>Typ 4: Podniesienie atrakcyjności uczelni wyższych</w:t>
      </w:r>
      <w:r>
        <w:br/>
        <w:t>Podniesienie atrakcyjności uczelni wyższych w szczególności w zakresie zielonej i cyfrowej gospodarki może obejmować m.in.:</w:t>
      </w:r>
      <w:r>
        <w:br/>
        <w:t>•</w:t>
      </w:r>
      <w:r>
        <w:tab/>
        <w:t>doposażenie pracowni naukowych i laboratoriów,</w:t>
      </w:r>
      <w:r>
        <w:br/>
        <w:t>•</w:t>
      </w:r>
      <w:r>
        <w:tab/>
        <w:t>wsparcie kadry uczelni wyższych dot. m.in. wykorzystania nowoczesnych metod dydaktycznych, kształtowania kompetencji miękkich, cyfrowych, umiejętności na rzecz transformacji,</w:t>
      </w:r>
      <w:r>
        <w:br/>
        <w:t xml:space="preserve">• </w:t>
      </w:r>
      <w:r>
        <w:tab/>
        <w:t>staże i praktyki zawodowe dla studentów.</w:t>
      </w:r>
      <w:r>
        <w:br/>
        <w:t>Typ 5: Wsparcie uczniów szkół ponadpodstawowych przez szkoły wyższe</w:t>
      </w:r>
      <w:r>
        <w:br/>
        <w:t xml:space="preserve">Wsparcie kierowane do uczniów szkół ponadpodstawowych realizowane będzie m.in w formie kursów przygotowawczych dla określonych kierunków kształcenia, zajęć praktycznych (również w formie </w:t>
      </w:r>
      <w:r>
        <w:lastRenderedPageBreak/>
        <w:t>wyjazdowej).</w:t>
      </w:r>
      <w:r>
        <w:br/>
        <w:t>Mieszkańcy, osoby uczące się lub pracujące na obszarze jednego z 7 podregionów województwa śląskiego wskazanych w Terytorialnym Planie Sprawiedliwej Transformacji.</w:t>
      </w:r>
      <w:r>
        <w:br/>
        <w:t>Docelowy poziom wkładu własnego i budżetu państwa zostanie określony w regulaminie wyboru projektów.</w:t>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20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0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2C520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0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20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0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20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0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12 lipca 2023 r. w sprawie udzielania pomocy na wspieranie innowacyjności oraz na innowacje procesowe i organizacyjne w ramach regionalnych programów na lata 2021–2027 (Dz.U. 2023 poz. 1487), Rozporządzenie Ministra Funduszy i Polityki Regionalnej z dnia 17 kwietnia 2024 r. w sprawie udzielania pomocy de minimis w ramach regionalnych programów na lata 2021–2027 (Dz.U. 2024 poz. 598), Rozporządzenie Ministra Funduszy i Polityki Regionalnej z dnia 28 lipca 2023 r. w sprawie udzielania pomocy szkoleniowej w zakresie celu polityki CP1 oraz celu szczegółowego Funduszu na rzecz Sprawiedliwej Transformacji w ramach regionalnych programów na lata 2021–2027 (Dz.U. 2023 poz. 1649)</w:t>
      </w:r>
    </w:p>
    <w:p w14:paraId="02C520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0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20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02C520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0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0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0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20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20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0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20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0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0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0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Przedsiębiorstwa</w:t>
      </w:r>
    </w:p>
    <w:p w14:paraId="02C520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0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doktorant, doradztwo_zawodowe, kurs, pracownik_naukowy, staże, szkolenia, szkolnictwo_wyższe</w:t>
      </w:r>
    </w:p>
    <w:p w14:paraId="02C520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20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20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0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0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0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02C520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WLWK-PLRO131 - Liczba doposażonych uczelni</w:t>
      </w:r>
    </w:p>
    <w:p w14:paraId="02C520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20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WLWK-PLECO01FST - Liczba podmiotów objętych wsparciem w celu zwiększenia jakości i efektywności systemu kształcenia i szkolenia</w:t>
      </w:r>
    </w:p>
    <w:p w14:paraId="02C520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20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0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20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WLWK-PLDGCR04FST - Liczba osób, które uzyskały zielone kwalifikacje po opuszczeniu programu</w:t>
      </w:r>
    </w:p>
    <w:p w14:paraId="02C520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WLWK-PLRR007 - Liczba rozwiązań informatycznych i technologicznych w ramach współpracy międzysektorowej</w:t>
      </w:r>
    </w:p>
    <w:p w14:paraId="02C520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036"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20" w:name="_Toc235079858"/>
      <w:r>
        <w:rPr>
          <w:rFonts w:ascii="Calibri" w:hAnsi="Calibri" w:cs="Calibri"/>
          <w:sz w:val="32"/>
        </w:rPr>
        <w:t>Działanie FESL.10.26 Wzmocnienie procesu sprawiedliwej transformacji w regionie</w:t>
      </w:r>
      <w:bookmarkEnd w:id="120"/>
    </w:p>
    <w:p w14:paraId="02C520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0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20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0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9 250 000,00</w:t>
      </w:r>
    </w:p>
    <w:p w14:paraId="02C520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0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9 250 000,00</w:t>
      </w:r>
    </w:p>
    <w:p w14:paraId="02C520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0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150 - Wsparcie na rzecz szkolnictwa wyższego (z wyłączeniem infrastruktury), 151 - Wsparcie na rzecz kształcenia dorosłych (z wyłączeniem infrastruktury), 163 - Promowanie integracji społecznej osób zagrożonych ubóstwem lub wykluczeniem społecznym, w tym osób najbardziej potrzebujących i dzieci</w:t>
      </w:r>
    </w:p>
    <w:p w14:paraId="02C520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0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Przeprowadzenie procesu transformacji w sposób skuteczny i sprawiedliwy wymaga objęcia wsparciem całych społeczności lokalnych dotkniętych zmianami. W ramach działania planuje się zwiększenie poziomu aktywności społeczności uczestniczących w procesie sprawiedliwej transformacji oraz wzmocnienie potencjału instytucjonalnego, w tym kadr realizujących proces transformacji.</w:t>
      </w:r>
      <w:r>
        <w:br/>
        <w:t>W ramach działania realizowane będą przedsięwzięcia strategiczne/priorytetowe wskazane w Kontrakcie Programowym.</w:t>
      </w:r>
      <w:r>
        <w:br/>
      </w:r>
      <w:r>
        <w:br/>
        <w:t>Typy projektów:</w:t>
      </w:r>
      <w:r>
        <w:br/>
      </w:r>
      <w:r>
        <w:br/>
        <w:t>Typ. 1 Działania w zakresie wzmocnienia partycypacji mieszkańców w proces transformacji regionu.</w:t>
      </w:r>
      <w:r>
        <w:br/>
        <w:t xml:space="preserve">W ramach typu planuje się uchwycenie i zachowanie udokumentowanego dziedzictwa kultury górniczej we współpracy ze środowiskami i rodzinami górniczymi jako jej nośnikami, z uwzględnieniem integracji społecznej i przekazu międzypokoleniowego, a także promocja kultury górniczej wśród zagrożonych </w:t>
      </w:r>
      <w:r>
        <w:lastRenderedPageBreak/>
        <w:t>wykluczeniem społecznym mieszkańców terenów objętych TPST z wykorzystaniem działań edukacyjno-świadomościowych.</w:t>
      </w:r>
      <w:r>
        <w:br/>
      </w:r>
      <w:r>
        <w:br/>
      </w:r>
      <w:r>
        <w:br/>
        <w:t>Typ. 2 Działania promocyjne na rzecz kontynuacji kształcenia w regionie.</w:t>
      </w:r>
      <w:r>
        <w:br/>
        <w:t>W ramach typu planuje się podniesienie zainteresowania potencjalnych studentów kierunkami kształcenia w obszarze zielonej i cyfrowej transformacji, na uczelniach z terenu objętego TPST, kształtowanie świadomości ekologicznej mieszkańców, zaangażowanie środowisk naukowych, specjalistów i praktyków, mieszkańców, potencjalnych studentów, przedsiębiorców oraz lokalnych władz w działania zmierzające do tworzenia przestrzeni edukacyjnej.</w:t>
      </w:r>
    </w:p>
    <w:p w14:paraId="02C520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0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20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0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20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0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20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0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02C520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0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 uproszczona metoda rozliczania wydatków w oparciu o projekt budżetu [art. 53(3)(b) CPR]</w:t>
      </w:r>
    </w:p>
    <w:p w14:paraId="02C520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0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0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0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20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20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20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0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20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0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0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0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Służby publiczne</w:t>
      </w:r>
    </w:p>
    <w:p w14:paraId="02C520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0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kultury, Jednostki Samorządu Terytorialnego</w:t>
      </w:r>
    </w:p>
    <w:p w14:paraId="02C520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0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dziedzictwo_kulturowe, edukacja_ekologiczna, edukacja_klimatyczna, integracja_społeczna, organizacje_pozarządowe, regiony_górnicze, sprawiedliwa_transformacja, szkolnictwo_wyższe, tożsamość_lokalna, wzmacnianie_potencjału_społecznego</w:t>
      </w:r>
    </w:p>
    <w:p w14:paraId="02C520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20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Średnie</w:t>
      </w:r>
    </w:p>
    <w:p w14:paraId="02C520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0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0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0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02C520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20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02C52063" w14:textId="3C84E9E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w:t>
      </w:r>
      <w:r w:rsidR="002D509E">
        <w:t xml:space="preserve"> </w:t>
      </w:r>
      <w:r>
        <w:t>objętych wsparciem w programie</w:t>
      </w:r>
    </w:p>
    <w:p w14:paraId="02C520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WLWK-EECO06 - Liczba osób w wieku poniżej 18 lat objętych wsparciem w programie</w:t>
      </w:r>
    </w:p>
    <w:p w14:paraId="02C520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WLWK-PLECO01FST - Liczba podmiotów objętych wsparciem w celu zwiększenia jakości i efektywności systemu kształcenia i szkolenia</w:t>
      </w:r>
    </w:p>
    <w:p w14:paraId="02C520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20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WLWK-PLTO010 - Liczba przedstawicieli organizacji społeczeństwa obywatelskiego (w tym wolontariuszy) objętych wsparciem w programie</w:t>
      </w:r>
    </w:p>
    <w:p w14:paraId="02C520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PROG-FESLO-21 - Liczba kobiet objętych działaniami podnoszącymi wiedzę i świadomość na temat zarządzania różnorodnością, wsparcia kompetencji managerskich kobiet</w:t>
      </w:r>
    </w:p>
    <w:p w14:paraId="02C52069" w14:textId="687F1B05"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PROG-FESLO-20 - Liczba osób objętych działaniami edukacyjnymi i świadomościowymi związanymi</w:t>
      </w:r>
      <w:r w:rsidR="002D509E">
        <w:t xml:space="preserve"> </w:t>
      </w:r>
      <w:r>
        <w:t>z transformacją regionu</w:t>
      </w:r>
    </w:p>
    <w:p w14:paraId="02C520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0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WLWK-PLTR007 - Liczba przedstawicieli organizacji społeczeństwa obywatelskiego, którzy zdobyli nowe umiejętności, wiedzę lub uzyskali kwalifikacje</w:t>
      </w:r>
    </w:p>
    <w:p w14:paraId="02C520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WLWK-PLRR007 - Liczba rozwiązań informatycznych i technologicznych w ramach współpracy międzysektorowej</w:t>
      </w:r>
    </w:p>
    <w:p w14:paraId="02C520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PROG-FESLR-22 - Liczba zrealizowanych przedsięwzięć promujących sprawiedliwą transformację</w:t>
      </w:r>
    </w:p>
    <w:p w14:paraId="02C520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06F"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21" w:name="_Toc235079859"/>
      <w:r>
        <w:rPr>
          <w:rFonts w:ascii="Calibri" w:hAnsi="Calibri" w:cs="Calibri"/>
          <w:sz w:val="32"/>
        </w:rPr>
        <w:t>Działanie FESL.10.27 Wsparcie infrastrukturalne na rzecz włączenia społecznego</w:t>
      </w:r>
      <w:bookmarkEnd w:id="121"/>
    </w:p>
    <w:p w14:paraId="02C520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0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FST.CP6.I -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p w14:paraId="02C520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0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4 000 000,00</w:t>
      </w:r>
    </w:p>
    <w:p w14:paraId="02C520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0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4 000 000,00</w:t>
      </w:r>
    </w:p>
    <w:p w14:paraId="02C520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0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166 - Ochrona, rozwój i promowanie dziedzictwa kulturowego i usług w dziedzinie kultury</w:t>
      </w:r>
    </w:p>
    <w:p w14:paraId="02C520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0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 xml:space="preserve">Działanie będzie realizowane poprzez tryb niekonkurencyjny. </w:t>
      </w:r>
      <w:r>
        <w:br/>
      </w:r>
      <w:r>
        <w:br/>
        <w:t xml:space="preserve">Wsparciem objęte zostaną inwestycje polegające na rozwoju i modernizacji infrastruktury instytucji kultury w celu zwiększenia dostępności usług publicznych oraz wzmocnienia procesu włączenia </w:t>
      </w:r>
      <w:r>
        <w:lastRenderedPageBreak/>
        <w:t>społecznego mieszkańców, w szczególności osób zagrożonych wykluczeniem społecznym.</w:t>
      </w:r>
      <w:r>
        <w:br/>
      </w:r>
      <w:r>
        <w:br/>
        <w:t>Zakres działania koncentruje się na dostosowaniu infrastruktury do pełnienia funkcji społecznych, edukacyjnych i integracyjnych poprzez nadanie jej wielofunkcyjnych zastosowań oraz aktywnym uczestnictwie mieszkańców w życiu społecznym i kulturalnym, w tym osób z obszaru objętego transformacją, seniorów, młodzieży oraz osób zagrożonych wykluczeniem społecznym.</w:t>
      </w:r>
      <w:r>
        <w:br/>
      </w:r>
      <w:r>
        <w:br/>
        <w:t>Ze względu na zapisy art. 9 Rozporządzenia Parlamentu Europejskiego i Rady (UE) 2021/1056 z dnia 24 czerwca 2021 r. ustanawiającego Fundusz na rzecz Sprawiedliwej Transformacji z zakresu wsparcia wyłączone są inwestycje w zakresie produkcji, przetwarzania, transportu, dystrybucji, magazynowania lub spalania paliw kopalnych.</w:t>
      </w:r>
      <w:r>
        <w:br/>
      </w:r>
      <w:r>
        <w:br/>
        <w:t>Obligatoryjne warunki wsparcia:</w:t>
      </w:r>
      <w:r>
        <w:br/>
      </w:r>
      <w:r>
        <w:br/>
        <w:t>Wsparciem objęte zostaną projekty realizowane na obszarach transformacji obejmujących podregion Bielski zgodnie z zapisami Terytorialnego Planu Sprawiedliwej Transformacji Województwa Śląskiego 2030.</w:t>
      </w:r>
      <w:r>
        <w:br/>
      </w:r>
      <w:r>
        <w:br/>
        <w:t>Inwestycje muszą uwzględniać zasadę „zanieczyszczający płaci” oraz regulacje dotyczące odpowiedzialności za szkody spowodowane ruchem zakładu górniczego.</w:t>
      </w:r>
      <w:r>
        <w:br/>
      </w:r>
      <w:r>
        <w:br/>
        <w:t>Projekt jest zgodny z zasadą deinstytucjonalizacji.</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r>
        <w:br/>
        <w:t>Wszystkie przedsięwzięcia powinny być realizowane w zgodzie z właściwymi przepisami prawa krajowego i unijnego, znajdującymi zastosowanie w odniesieniu do danego projektu.</w:t>
      </w:r>
      <w:r>
        <w:br/>
      </w:r>
      <w:r>
        <w:br/>
        <w:t>Preferowane warunki wsparcia:</w:t>
      </w:r>
      <w:r>
        <w:br/>
      </w:r>
      <w:r>
        <w:br/>
        <w:t>Rekomenduje się realizację zielonych zamówień publicznych w oparciu o opracowane przez KE wspólne kryteria możliwe do stosowania w państwach członkowskich Unii.</w:t>
      </w:r>
      <w:r>
        <w:br/>
      </w:r>
      <w:r>
        <w:br/>
        <w:t>W projektach, których będzie to zasadne i możliwe niezbędne jest zastosowane rozwiązania w zakresie obiegu cyrkularnego (w tym efektywności energetycznej i użycia energii z OZE), jak również elementy sprzyjające adaptacji do zmian klimatu (w szczególności zielona i niebieska infrastruktura). </w:t>
      </w:r>
      <w:r>
        <w:br/>
      </w:r>
      <w:r>
        <w:lastRenderedPageBreak/>
        <w:br/>
        <w:t>Możliwe będzie realizowanie projektów partnerskich zgodnie z art. 39 oraz projektów hybrydowych zgodnie z art. 40 ustawy o zasadach realizacji zadań finansowanych ze środków europejskich w perspektywie finansowej 2021-2027.</w:t>
      </w:r>
      <w:r>
        <w:br/>
      </w:r>
    </w:p>
    <w:p w14:paraId="02C520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0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20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0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20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0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20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0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02C520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0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0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0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0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0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20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0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20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0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0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0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02C520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0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kultury</w:t>
      </w:r>
    </w:p>
    <w:p w14:paraId="02C520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0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instytucja_kultury, włączenie_społeczne</w:t>
      </w:r>
    </w:p>
    <w:p w14:paraId="02C520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0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0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0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20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20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WLWK-PLRO205 - Liczba wspartych obiektów, w których realizowane są usługi społeczne</w:t>
      </w:r>
    </w:p>
    <w:p w14:paraId="02C520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WLWK-RCO038 - Powierzchnia wspieranych zrekultywowanych gruntów</w:t>
      </w:r>
    </w:p>
    <w:p w14:paraId="02C520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PROG-FESLO-18 - Liczba wspartych obiektów infrastruktury (innych niż budynki mieszkalne) zlokalizowanych na obszarze objętym transformacją</w:t>
      </w:r>
    </w:p>
    <w:p w14:paraId="02C520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0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WLWK-RCR052 - Grunty zrekultywowane wykorzystywane jako tereny zielone, pod budowę lokali socjalnych lub pod działalność gospodarczą lub inną</w:t>
      </w:r>
    </w:p>
    <w:p w14:paraId="02C520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20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20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209F"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22" w:name="_Toc235079860"/>
      <w:r>
        <w:rPr>
          <w:rFonts w:ascii="Calibri" w:hAnsi="Calibri" w:cs="Calibri"/>
          <w:i w:val="0"/>
          <w:sz w:val="32"/>
        </w:rPr>
        <w:t>Priorytet FESL.11 Fundusze Europejskie na pomoc techniczną EFRR</w:t>
      </w:r>
      <w:bookmarkEnd w:id="122"/>
    </w:p>
    <w:p w14:paraId="02C520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20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Zarząd Województwa Śląskiego</w:t>
      </w:r>
    </w:p>
    <w:p w14:paraId="02C520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20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02C520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20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 - Pomoc Techniczna</w:t>
      </w:r>
    </w:p>
    <w:p w14:paraId="02C520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20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20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20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84 938 315,00</w:t>
      </w:r>
    </w:p>
    <w:p w14:paraId="02C520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20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84 938 315,00</w:t>
      </w:r>
    </w:p>
    <w:p w14:paraId="02C520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20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0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20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20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20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0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0B3"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23" w:name="_Toc235079861"/>
      <w:r>
        <w:rPr>
          <w:rFonts w:ascii="Calibri" w:hAnsi="Calibri" w:cs="Calibri"/>
          <w:sz w:val="32"/>
        </w:rPr>
        <w:t>Działanie FESL.11.01 Pomoc Techniczna EFRR</w:t>
      </w:r>
      <w:bookmarkEnd w:id="123"/>
    </w:p>
    <w:p w14:paraId="02C520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0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PT.1 - Pomoc Techniczna</w:t>
      </w:r>
    </w:p>
    <w:p w14:paraId="02C520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0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84 938 315,00</w:t>
      </w:r>
    </w:p>
    <w:p w14:paraId="02C520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0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84 938 315,00</w:t>
      </w:r>
    </w:p>
    <w:p w14:paraId="02C520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0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179 - Informacja i komunikacja, 180 - Przygotowanie, wdrażanie, monitorowanie i kontrola, 181 - Ewaluacja i badania, gromadzenie danych, 182 - Wzmocnienie potencjału instytucji państwa członkowskiego, beneficjentów i odpowiednich partnerów</w:t>
      </w:r>
    </w:p>
    <w:p w14:paraId="02C520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0BD" w14:textId="673A180F"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PT jest wspieranie skutecznej i efektywnej realizacji FE SL</w:t>
      </w:r>
      <w:r>
        <w:br/>
        <w:t>W ramach celu będą realizowane</w:t>
      </w:r>
      <w:r w:rsidR="002D509E">
        <w:t xml:space="preserve"> </w:t>
      </w:r>
      <w:r>
        <w:t>następujące działania:</w:t>
      </w:r>
      <w:r>
        <w:br/>
        <w:t>1.</w:t>
      </w:r>
      <w:r>
        <w:tab/>
        <w:t>Wsparcie instytucji FE SL w zarządzaniu zasobami ludzkimi (ZZL) i wzmocnienie ich potencjału administracyjnego;</w:t>
      </w:r>
      <w:r>
        <w:br/>
        <w:t>2.</w:t>
      </w:r>
      <w:r>
        <w:tab/>
        <w:t>Wsparcie skutecznych procedur i procesów we wdrażaniu FE SL;</w:t>
      </w:r>
      <w:r>
        <w:br/>
        <w:t>3.</w:t>
      </w:r>
      <w:r>
        <w:tab/>
        <w:t>Wsparcie beneficjentów i potencjalnych beneficjentów FE SL;</w:t>
      </w:r>
      <w:r>
        <w:br/>
        <w:t>4.</w:t>
      </w:r>
      <w:r>
        <w:tab/>
        <w:t>Wsparcie funkcjonowania komitetów, grup roboczych i doradczych, partnerów;</w:t>
      </w:r>
      <w:r>
        <w:br/>
        <w:t>5.</w:t>
      </w:r>
      <w:r>
        <w:tab/>
        <w:t xml:space="preserve">Stworzenie spójnego systemu informacji i komunikacji </w:t>
      </w:r>
      <w:r>
        <w:br/>
        <w:t>W ramach działania Wsparcie instytucji FE SL w zarządzaniu zasobami ludzkimi (ZZL) i wzmocnienie ich potencjału administracyjnego planuje się realizację zadań</w:t>
      </w:r>
      <w:r>
        <w:br/>
        <w:t>Zadanie 1 Wsparcie Instytucji (w ramach kategorii interwencji 180) obejmujące następujące typy operacji:</w:t>
      </w:r>
      <w:r>
        <w:br/>
        <w:t xml:space="preserve">– zapewnienie odpowiedniego systemu wynagradzania pracowników zaangażowanych w realizacje FE SL 21-27 zgodnie z zasadami określonymi w regulaminach zatrudniania, wynagradzania, awansowania i nagradzania w poszczególnych jednostkach; </w:t>
      </w:r>
      <w:r>
        <w:br/>
        <w:t>- zapewnienie finansowania kosztów związanych z</w:t>
      </w:r>
      <w:r w:rsidR="002D509E">
        <w:t xml:space="preserve"> </w:t>
      </w:r>
      <w:r>
        <w:t>zamykaniem</w:t>
      </w:r>
      <w:r w:rsidR="002D509E">
        <w:t xml:space="preserve"> </w:t>
      </w:r>
      <w:r>
        <w:t>RPO 2014-2020 oraz przygotowywaniem perspektywy po 2027 r.;</w:t>
      </w:r>
      <w:r>
        <w:br/>
        <w:t>- finansowanie wydatków administracyjnych i organizacyjnych umożliwiających sprawną realizację procesów związanych z realizacją FE SL 2021-2027 (w tym m.in. koszty delegacji, czynsze, media, opłaty eksploatacyjne , zakup materiałów eksploatacyjnych i biurowych, wyposażenia biurowego i sprzętu komputerowego oraz adaptacja, remont i modernizacja służące utrzymaniu stanu pomieszczeń biurowych, konferencyjnych oraz archiwów);</w:t>
      </w:r>
      <w:r>
        <w:br/>
        <w:t>- finansowanie działań zleconych przez</w:t>
      </w:r>
      <w:r w:rsidR="002D509E">
        <w:t xml:space="preserve"> </w:t>
      </w:r>
      <w:r>
        <w:t>Koordynatora ds. Równości i Niedyskryminacji.</w:t>
      </w:r>
      <w:r>
        <w:br/>
      </w:r>
      <w:r>
        <w:br/>
        <w:t>Zadanie 2 Podnoszenie kwalifikacji (w ramach kategorii interwencji 182) obejmujące następujące typy operacji:</w:t>
      </w:r>
      <w:r>
        <w:br/>
        <w:t>- finansowanie rozwoju i doskonalenie kadr zaangażowanych w realizację FE SL 21-27 poprzez wszelkie formy dokształcania zgodnie z założeniami Planu ZZL ze szczególnym m.in.: uproszczenia, zmniejszania obciążeń administracyjnych, poprawa jakości świadczonych usług, stosowanie zielonych i społecznych zamówień, ochrona bioróżnorodności, zasady horyzontalne (w tym koszty delegacji związanych z podnoszeniem kwalifikacji);</w:t>
      </w:r>
      <w:r>
        <w:br/>
        <w:t>- finansowanie działań zleconych przez</w:t>
      </w:r>
      <w:r w:rsidR="002D509E">
        <w:t xml:space="preserve"> </w:t>
      </w:r>
      <w:r>
        <w:t>Koordynatora ds. Równości i Niedyskryminacji.</w:t>
      </w:r>
      <w:r>
        <w:br/>
        <w:t>W ramach Działania Wsparcie skutecznych procedur i procesów we wdrażaniu FE SL będą realizowane zadania:</w:t>
      </w:r>
      <w:r>
        <w:br/>
        <w:t>Zadanie 3 Wsparcie zarządzania i wdrażania (w ramach kategorii interwencji 180) obejmujące następujące typy operacji:</w:t>
      </w:r>
      <w:r>
        <w:br/>
      </w:r>
      <w:r>
        <w:lastRenderedPageBreak/>
        <w:t>- finansowanie działań związanych z zapewnieniem systemów informatycznych wraz z infrastrukturą niezbędną do wdrażania FE SL 21-27;</w:t>
      </w:r>
      <w:r>
        <w:br/>
        <w:t>- finansowanie wydatków związanych z odzyskiwaniem od Beneficjentów kwot wykorzystanych niezgodnie z przeznaczeniem, z naruszeniem procedur lub pobranych nienależnie lub w nadmiernej wysokości oraz wydatków wynikających z zastosowania procedur odwoławczych, w tym kosztów sądowych;</w:t>
      </w:r>
      <w:r>
        <w:br/>
        <w:t>- finansowanie działań zleconych przez</w:t>
      </w:r>
      <w:r w:rsidR="002D509E">
        <w:t xml:space="preserve"> </w:t>
      </w:r>
      <w:r>
        <w:t>Koordynatora ds. Równości i Niedyskryminacji;</w:t>
      </w:r>
      <w:r>
        <w:br/>
        <w:t>- finansowanie m.in.</w:t>
      </w:r>
      <w:r w:rsidR="002D509E">
        <w:t xml:space="preserve"> </w:t>
      </w:r>
      <w:r>
        <w:t>analiz i studiów, ekspertyz i opinii prawnych związanych z realizacją FE SL;</w:t>
      </w:r>
      <w:r>
        <w:br/>
        <w:t>- finansowanie operacji w ramach zadania związanych z zamykaniem RPO WSL 2014-2020 oraz przygotowania okresu programowania 2027+;</w:t>
      </w:r>
      <w:r>
        <w:br/>
        <w:t>- zapewnienie finansowania usług zleconych w ramach zadań RPO WSL m.in. w zakresie analiz, ekspertyz, tłumaczeń, ocen, wsparcia procesu wyboru projektów oraz opinii w tym wsparcia eksperckiego i prawnego na potrzeby realizacji FE SL 21-27;</w:t>
      </w:r>
      <w:r>
        <w:br/>
        <w:t>-</w:t>
      </w:r>
      <w:r w:rsidR="002D509E">
        <w:t xml:space="preserve"> </w:t>
      </w:r>
      <w:r>
        <w:t>zapewnienie finansowania wydatków związanych ze wsparciem procesu wyboru projektu (eksperci KOP wewnętrzni i zewnętrzni).</w:t>
      </w:r>
      <w:r>
        <w:br/>
        <w:t>Zadanie 4.</w:t>
      </w:r>
      <w:r w:rsidR="002D509E">
        <w:t xml:space="preserve"> </w:t>
      </w:r>
      <w:r>
        <w:t>Badania ewaluacyjne (kategorii interwencji 181) obejmujące następujące typy operacji:</w:t>
      </w:r>
      <w:r>
        <w:br/>
        <w:t xml:space="preserve">- przygotowanie i prowadzenie badań ewaluacyjnych oraz upowszechnianie wyników badań ewaluacyjnych. </w:t>
      </w:r>
      <w:r>
        <w:br/>
        <w:t>W ramach działania Wsparcie beneficjentów i potencjalnych beneficjentów FE SL będą realizowane zadania:</w:t>
      </w:r>
      <w:r>
        <w:br/>
        <w:t>Zadanie 5. Wsparcie beneficjentów</w:t>
      </w:r>
      <w:r w:rsidR="002D509E">
        <w:t xml:space="preserve"> </w:t>
      </w:r>
      <w:r>
        <w:t>(w ramach kategorii interwencji 182) obejmujące następujące typy operacji:</w:t>
      </w:r>
      <w:r>
        <w:br/>
        <w:t>-finansowanie</w:t>
      </w:r>
      <w:r w:rsidR="002D509E">
        <w:t xml:space="preserve"> </w:t>
      </w:r>
      <w:r>
        <w:t>rozwój kompetencji beneficjentów i potencjalnych beneficjentów niezbędnych do skutecznego aplikowania o fundusze UE, prowadzenia i rozliczania projektów, poprzez m.in. organizowanie szkoleń, usług doradczych, działań animacyjnych, konsultacji i spotkań informacyjnych ze szczególnym uwzględnieniem</w:t>
      </w:r>
      <w:r w:rsidR="002D509E">
        <w:t xml:space="preserve"> </w:t>
      </w:r>
      <w:r>
        <w:t>założeń Europejskiego Zielonego Ładu i zasady DNSH, zasad horyzontalnych w projektach, w tym niedyskryminacji, szczególnie dla kadry w instytucjach z obszaru: edukacji, zdrowia i pomocy społecznej w zakresie przeciwdziałania i zwalczania dyskryminacji osób i grup narażonych/ dyskryminowanych;</w:t>
      </w:r>
      <w:r>
        <w:br/>
        <w:t>- finansowanie działań związanych z</w:t>
      </w:r>
      <w:r w:rsidR="002D509E">
        <w:t xml:space="preserve"> </w:t>
      </w:r>
      <w:r>
        <w:t>wymianą doświadczeń i najlepszych praktyk w zakresie przygotowania i wdrażania projektów;</w:t>
      </w:r>
      <w:r>
        <w:br/>
        <w:t>- finansowanie działań zleconych przez</w:t>
      </w:r>
      <w:r w:rsidR="002D509E">
        <w:t xml:space="preserve"> </w:t>
      </w:r>
      <w:r>
        <w:t>Koordynatora ds. Równości i Niedyskryminacji;</w:t>
      </w:r>
      <w:r>
        <w:br/>
        <w:t>- finansowanie operacji w ramach zadania związanych z zamykaniem RPO WSL 2014-2020 oraz przygotowania okresu programowania 2027+.</w:t>
      </w:r>
      <w:r>
        <w:br/>
        <w:t xml:space="preserve">W ramach działania Wsparcie funkcjonowania komitetów, grup roboczych i doradczych, partnerów realizowane będzie zadanie: </w:t>
      </w:r>
      <w:r>
        <w:br/>
        <w:t>Zadanie 6 Wsparcie KM, grup roboczych i doradczych, partnerów (w ramach kategorii interwencji 182) obejmujące następujące typy operacji:</w:t>
      </w:r>
      <w:r>
        <w:br/>
        <w:t>- kompleksowe zapewnienie</w:t>
      </w:r>
      <w:r w:rsidR="002D509E">
        <w:t xml:space="preserve"> </w:t>
      </w:r>
      <w:r>
        <w:t>funkcjonowania</w:t>
      </w:r>
      <w:r w:rsidR="002D509E">
        <w:t xml:space="preserve"> </w:t>
      </w:r>
      <w:r>
        <w:t xml:space="preserve">KM i grup roboczych powoływanych przez KM, w tym ds. monitorowania zasad horyzontalnych w skład, której wejdą przedstawiciele organizacji społecznych zrzeszających osoby z grup narażonych na dyskryminację lub zajmujących się równouprawnieniem danej grupy, a także wsparcie grup doradczych zaangażowanych we wdrażanie FE SL, w tym członków KM </w:t>
      </w:r>
      <w:r>
        <w:lastRenderedPageBreak/>
        <w:t>reprezentujących partnerów społeczno-gospodarczych oraz podmioty społeczeństwa obywatelskiego (art. 8 ust. 1 CPR). Finansowane będą m.in. koszty organizacji posiedzeń, ekspertyz, szkoleń, seminariów, materiałów edukacyjno-informacyjnych dla zapewnienia lepszego monitorowania i oceny zgodności Programu z zasadami horyzontalnymi. Finansowanie wydatków/zadań ponoszonych w ramach Pomocy Technicznej będzie realizowane zgodnie z aktualnymi Zasadami finansowania funkcjonowania Komitetu Monitorującego Program Fundusze Europejskie dla Śląskiego 2021-2027, w tym z zastosowaniem stawek jednostkowych.</w:t>
      </w:r>
      <w:r>
        <w:br/>
        <w:t>- finansowanie działań zleconych przez</w:t>
      </w:r>
      <w:r w:rsidR="002D509E">
        <w:t xml:space="preserve"> </w:t>
      </w:r>
      <w:r>
        <w:t>Koordynatora ds. Równości i Niedyskryminacji;</w:t>
      </w:r>
      <w:r>
        <w:br/>
        <w:t>- finansowanie operacji w ramach zadania związanych</w:t>
      </w:r>
      <w:r w:rsidR="002D509E">
        <w:t xml:space="preserve"> </w:t>
      </w:r>
      <w:r>
        <w:t>z zamykaniem RPO WSL 2014-2020 oraz przygotowania okresu programowania 2027+.</w:t>
      </w:r>
      <w:r>
        <w:br/>
      </w:r>
      <w:r>
        <w:br/>
      </w:r>
      <w:r>
        <w:br/>
        <w:t xml:space="preserve">W ramach działania Stworzenie spójnego systemu informacji i komunikacji realizowane będzie zadanie: </w:t>
      </w:r>
      <w:r>
        <w:br/>
      </w:r>
      <w:r>
        <w:br/>
        <w:t>Zadanie 7 Promocja i komunikacja</w:t>
      </w:r>
      <w:r w:rsidR="002D509E">
        <w:t xml:space="preserve"> </w:t>
      </w:r>
      <w:r>
        <w:t>( w ramach kategorii interwencji 179) obejmujące następujące typy operacji:</w:t>
      </w:r>
      <w:r>
        <w:br/>
        <w:t>- tworzenie, utrzymanie i rozwój systemu portali /serwisów internetowych związanych z FE SL oraz wykorzystanie innych narzędzi komunikacji elektronicznej, w tym mediów społecznościowych;</w:t>
      </w:r>
      <w:r>
        <w:br/>
        <w:t>- finansowanie przygotowania, produkcji, dystrybucji publikacji, materiałów promocyjnych;</w:t>
      </w:r>
      <w:r>
        <w:br/>
        <w:t>- finansowanie kampanii informacyjnych i promocyjnych skierowanych do opinii publicznej;</w:t>
      </w:r>
      <w:r>
        <w:br/>
        <w:t>- organizacja i współorganizacja wydarzeń (m.in. konferencji, kongresów, pikników, targów), akcji promocyjnych i społecznych oraz</w:t>
      </w:r>
      <w:r w:rsidR="002D509E">
        <w:t xml:space="preserve"> </w:t>
      </w:r>
      <w:r>
        <w:t>konkursów edukacyjnych i promocyjnych. Na potrzeby wymienionych wydarzeń możliwość zakupu gadżetów jako narzędzia wsparcia promocji.</w:t>
      </w:r>
      <w:r>
        <w:br/>
        <w:t>- zapewnienie finansowania</w:t>
      </w:r>
      <w:r w:rsidR="002D509E">
        <w:t xml:space="preserve"> </w:t>
      </w:r>
      <w:r>
        <w:t>współpracy z Europe Direct, sieciowanie działań i kanałów komunikacyjnych;</w:t>
      </w:r>
      <w:r>
        <w:br/>
        <w:t>- finansowanie działań zleconych przez</w:t>
      </w:r>
      <w:r w:rsidR="002D509E">
        <w:t xml:space="preserve"> </w:t>
      </w:r>
      <w:r>
        <w:t>Koordynatora ds. Równości i Niedyskryminacji;</w:t>
      </w:r>
      <w:r>
        <w:br/>
        <w:t>- finansowanie operacji w ramach zadania związanych z zamykaniem RPO WSL 2014-2020 oraz przygotowania okresu programowania 2027.</w:t>
      </w:r>
      <w:r>
        <w:br/>
      </w:r>
      <w:r>
        <w:br/>
        <w:t>Działania komunikacyjne będą prowadzone z uwzględnieniem zasad dostępności, równości szans i niedyskryminacji, postępującej cyfryzacji i zielonego</w:t>
      </w:r>
      <w:r>
        <w:br/>
        <w:t>ładu. Zgodnie z zasadą zazieleniania działań komunikacyjnych podstawowym trybem informowania przez IZ/IP będzie wersja cyfrowa materiałów.</w:t>
      </w:r>
      <w:r>
        <w:br/>
        <w:t>Ekologiczne podejście do komunikacji oznacza ograniczenie zużycia surowców naturalnych, zastępowanie materiałów drukowanych wersjami cyfrowymi,</w:t>
      </w:r>
      <w:r>
        <w:br/>
        <w:t>wykorzystanie materiałów przyjaznych dla środowiska lub powstałych np. z recyklingu.</w:t>
      </w:r>
      <w:r>
        <w:br/>
      </w:r>
      <w:r>
        <w:br/>
        <w:t>Wszystkie Działania będą realizowane z uwzględnieniem zasad horyzontalnych (zgodnie z art. 9 Rozporządzenia Parlamentu Europejskiego i Rady (UE) nr 2021/1060 z dnia 24 czerwca 2021 r.), a obowiązek ich stosowania wynika z Umowy Partnerstwa, programu oraz wytycznych.</w:t>
      </w:r>
      <w:r>
        <w:br/>
      </w:r>
      <w:r>
        <w:br/>
        <w:t>Beneficjentami Pomocy Technicznej w ramach FE SL 2021-2027 są:</w:t>
      </w:r>
      <w:r>
        <w:br/>
        <w:t>- Województwo Śląskie</w:t>
      </w:r>
      <w:r>
        <w:br/>
      </w:r>
      <w:r>
        <w:lastRenderedPageBreak/>
        <w:t>- Instytucje Pośredniczące: Wojewódzki Urząd Pracy w Katowicach oraz Śląskie Centrum Przedsiębiorczości.</w:t>
      </w:r>
      <w:r>
        <w:br/>
      </w:r>
    </w:p>
    <w:p w14:paraId="02C520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0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20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0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20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0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0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0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0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0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stawka jednostkowa w oparciu o metodykę IZ [art. 53(3)(a) CPR]</w:t>
      </w:r>
    </w:p>
    <w:p w14:paraId="02C520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0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0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0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0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20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20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0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20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0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0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0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20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0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pomoc_techniczna</w:t>
      </w:r>
    </w:p>
    <w:p w14:paraId="02C520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0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https://funduszeue.slaskie.pl/web/guest/kryteria-wyboru</w:t>
      </w:r>
    </w:p>
    <w:p w14:paraId="02C520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0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WLWK-PLRO158 - Liczba działań informacyjno-promocyjnych o szerokim zasięgu</w:t>
      </w:r>
    </w:p>
    <w:p w14:paraId="02C520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WLWK-PLRO151 - Liczba przeprowadzonych ewaluacji</w:t>
      </w:r>
    </w:p>
    <w:p w14:paraId="02C520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WLWK-PLRO150 - Liczba uczestników form szkoleniowych dla instytucji</w:t>
      </w:r>
    </w:p>
    <w:p w14:paraId="02C520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WLWK-PLRO192 - Liczba zakupionych komputerów</w:t>
      </w:r>
    </w:p>
    <w:p w14:paraId="02C520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WLWK-PLRO149 - Średnioroczna liczba etatów finansowanych z Pomocy Technicznej</w:t>
      </w:r>
    </w:p>
    <w:p w14:paraId="02C520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0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02C520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20E1"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24" w:name="_Toc235079862"/>
      <w:r>
        <w:rPr>
          <w:rFonts w:ascii="Calibri" w:hAnsi="Calibri" w:cs="Calibri"/>
          <w:i w:val="0"/>
          <w:sz w:val="32"/>
        </w:rPr>
        <w:t>Priorytet FESL.12 Fundusze Europejskie na pomoc techniczną EFS+</w:t>
      </w:r>
      <w:bookmarkEnd w:id="124"/>
    </w:p>
    <w:p w14:paraId="02C520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20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20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20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02C520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20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 - Pomoc Techniczna</w:t>
      </w:r>
    </w:p>
    <w:p w14:paraId="02C520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20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20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20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31 970 117,00</w:t>
      </w:r>
    </w:p>
    <w:p w14:paraId="02C520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20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31 970 117,00</w:t>
      </w:r>
    </w:p>
    <w:p w14:paraId="02C520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20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0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20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20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20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20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0F5"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25" w:name="_Toc235079863"/>
      <w:r>
        <w:rPr>
          <w:rFonts w:ascii="Calibri" w:hAnsi="Calibri" w:cs="Calibri"/>
          <w:sz w:val="32"/>
        </w:rPr>
        <w:t>Działanie FESL.12.01 Pomoc Techniczna EFS+</w:t>
      </w:r>
      <w:bookmarkEnd w:id="125"/>
    </w:p>
    <w:p w14:paraId="02C520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0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PT.1 - Pomoc Techniczna</w:t>
      </w:r>
    </w:p>
    <w:p w14:paraId="02C520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0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31 970 117,00</w:t>
      </w:r>
    </w:p>
    <w:p w14:paraId="02C520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0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31 970 117,00</w:t>
      </w:r>
    </w:p>
    <w:p w14:paraId="02C520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0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179 - Informacja i komunikacja, 180 - Przygotowanie, wdrażanie, monitorowanie i kontrola, 181 - Ewaluacja i badania, gromadzenie danych, 182 - Wzmocnienie potencjału instytucji państwa członkowskiego, beneficjentów i odpowiednich partnerów</w:t>
      </w:r>
    </w:p>
    <w:p w14:paraId="02C520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0FF" w14:textId="17004434"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PT jest wspieranie skutecznej i efektywnej realizacji FE SL</w:t>
      </w:r>
      <w:r>
        <w:br/>
        <w:t>W ramach celu będą realizowane</w:t>
      </w:r>
      <w:r w:rsidR="002D509E">
        <w:t xml:space="preserve"> </w:t>
      </w:r>
      <w:r>
        <w:t>następujące działania:</w:t>
      </w:r>
      <w:r>
        <w:br/>
        <w:t>1.</w:t>
      </w:r>
      <w:r>
        <w:tab/>
        <w:t>Wsparcie instytucji FE SL w zarządzaniu zasobami ludzkimi (ZZL) i wzmocnienie ich potencjału administracyjnego;</w:t>
      </w:r>
      <w:r>
        <w:br/>
        <w:t>2.</w:t>
      </w:r>
      <w:r>
        <w:tab/>
        <w:t>Wsparcie skutecznych procedur i procesów we wdrażaniu FE SL;</w:t>
      </w:r>
      <w:r>
        <w:br/>
        <w:t>3.</w:t>
      </w:r>
      <w:r>
        <w:tab/>
        <w:t>Wsparcie beneficjentów i potencjalnych beneficjentów FE SL;</w:t>
      </w:r>
      <w:r>
        <w:br/>
        <w:t>4.</w:t>
      </w:r>
      <w:r>
        <w:tab/>
        <w:t>Wsparcie funkcjonowania komitetów, grup roboczych i doradczych, partnerów;</w:t>
      </w:r>
      <w:r>
        <w:br/>
        <w:t>5.</w:t>
      </w:r>
      <w:r>
        <w:tab/>
        <w:t xml:space="preserve">Stworzenie spójnego systemu informacji i komunikacji </w:t>
      </w:r>
      <w:r>
        <w:br/>
        <w:t>W ramach działania Wsparcie instytucji FE SL w zarządzaniu zasobami ludzkimi (ZZL) i wzmocnienie ich potencjału administracyjnego planuje się realizację zadań</w:t>
      </w:r>
      <w:r>
        <w:br/>
        <w:t>Zadanie 1 Wsparcie Instytucji (w ramach kategorii interwencji 180) obejmujące następujące typy operacji:</w:t>
      </w:r>
      <w:r>
        <w:br/>
        <w:t xml:space="preserve">– zapewnienie odpowiedniego systemu wynagradzania pracowników zaangażowanych w realizacje FE SL 21-27 zgodnie z zasadami określonymi w regulaminach zatrudniania, wynagradzania, awansowania i nagradzania w poszczególnych jednostkach; </w:t>
      </w:r>
      <w:r>
        <w:br/>
        <w:t>- zapewnienie finansowania kosztów związanych z</w:t>
      </w:r>
      <w:r w:rsidR="002D509E">
        <w:t xml:space="preserve"> </w:t>
      </w:r>
      <w:r>
        <w:t>zamykaniem</w:t>
      </w:r>
      <w:r w:rsidR="002D509E">
        <w:t xml:space="preserve"> </w:t>
      </w:r>
      <w:r>
        <w:t>RPO 2014-2020 oraz przygotowywaniem perspektywy po 2027 r.;</w:t>
      </w:r>
      <w:r>
        <w:br/>
        <w:t xml:space="preserve">- finansowanie wydatków administracyjnych i organizacyjnych umożliwiających sprawną realizację procesów związanych z realizacją FE SL 2021-2027 (w tym m.in. koszty delegacji, czynsze, media, opłaty eksploatacyjne , zakup materiałów eksploatacyjnych i biurowych, wyposażenia biurowego i sprzętu </w:t>
      </w:r>
      <w:r>
        <w:lastRenderedPageBreak/>
        <w:t>komputerowego oraz adaptacja, remont i modernizacja służące utrzymaniu stanu pomieszczeń biurowych, konferencyjnych oraz archiwów);</w:t>
      </w:r>
      <w:r>
        <w:br/>
        <w:t>- finansowanie działań zleconych przez</w:t>
      </w:r>
      <w:r w:rsidR="002D509E">
        <w:t xml:space="preserve"> </w:t>
      </w:r>
      <w:r>
        <w:t>Koordynatora ds. Równości i Niedyskryminacji.</w:t>
      </w:r>
      <w:r>
        <w:br/>
      </w:r>
      <w:r>
        <w:br/>
        <w:t>Zadanie 2 Podnoszenie kwalifikacji (w ramach kategorii interwencji 182) obejmujące następujące typy operacji:</w:t>
      </w:r>
      <w:r>
        <w:br/>
        <w:t>- finansowanie rozwoju i doskonalenie kadr zaangażowanych w realizację FE SL 21-27 poprzez wszelkie formy dokształcania zgodnie z założeniami Planu ZZL ze szczególnym m.in.: uproszczenia, zmniejszania obciążeń administracyjnych, poprawa jakości świadczonych usług, stosowanie zielonych i społecznych zamówień, ochrona bioróżnorodności, zasady horyzontalne (w tym koszty delegacji związanych z podnoszeniem kwalifikacji);</w:t>
      </w:r>
      <w:r>
        <w:br/>
        <w:t>- finansowanie działań zleconych przez</w:t>
      </w:r>
      <w:r w:rsidR="002D509E">
        <w:t xml:space="preserve"> </w:t>
      </w:r>
      <w:r>
        <w:t>Koordynatora ds. Równości i Niedyskryminacji.</w:t>
      </w:r>
      <w:r>
        <w:br/>
        <w:t>W ramach Działania Wsparcie skutecznych procedur i procesów we wdrażaniu FE SL będą realizowane zadania:</w:t>
      </w:r>
      <w:r>
        <w:br/>
        <w:t>Zadanie 3 Wsparcie zarządzania i wdrażania (w ramach kategorii interwencji 180) obejmujące następujące typy operacji:</w:t>
      </w:r>
      <w:r>
        <w:br/>
        <w:t>- finansowanie działań związanych z zapewnieniem systemów informatycznych wraz z infrastrukturą niezbędną do wdrażania FE SL 21-27;</w:t>
      </w:r>
      <w:r>
        <w:br/>
        <w:t>- finansowanie wydatków związanych z odzyskiwaniem od Beneficjentów kwot wykorzystanych niezgodnie z przeznaczeniem, z naruszeniem procedur lub pobranych nienależnie lub w nadmiernej wysokości oraz wydatków wynikających z zastosowania procedur odwoławczych, w tym kosztów sądowych;</w:t>
      </w:r>
      <w:r>
        <w:br/>
        <w:t>- finansowanie działań zleconych przez</w:t>
      </w:r>
      <w:r w:rsidR="002D509E">
        <w:t xml:space="preserve"> </w:t>
      </w:r>
      <w:r>
        <w:t>Koordynatora ds. Równości i Niedyskryminacji;</w:t>
      </w:r>
      <w:r>
        <w:br/>
        <w:t>- finansowanie m.in.</w:t>
      </w:r>
      <w:r w:rsidR="002D509E">
        <w:t xml:space="preserve"> </w:t>
      </w:r>
      <w:r>
        <w:t>analiz i studiów, ekspertyz i opinii prawnych związanych z realizacją FE SL;</w:t>
      </w:r>
      <w:r>
        <w:br/>
        <w:t>- finansowanie operacji w ramach zadania związanych z zamykaniem RPO WSL 2014-2020 oraz przygotowania okresu programowania 2027+;</w:t>
      </w:r>
      <w:r>
        <w:br/>
        <w:t>- zapewnienie finansowania usług zleconych w ramach zadań RPO WSL m.in. w zakresie analiz, ekspertyz, tłumaczeń, ocen, wsparcia procesu wyboru projektów oraz opinii w tym wsparcia eksperckiego i prawnego na potrzeby realizacji FE SL 21-27;</w:t>
      </w:r>
      <w:r>
        <w:br/>
        <w:t>- zapewnienie finansowania wydatków związanych ze wsparciem procesu wyboru projektu (eksperci KOP wewnętrzni i zewnętrzni)</w:t>
      </w:r>
      <w:r>
        <w:br/>
        <w:t>Zadanie 4.</w:t>
      </w:r>
      <w:r w:rsidR="002D509E">
        <w:t xml:space="preserve"> </w:t>
      </w:r>
      <w:r>
        <w:t>Badania ewaluacyjne (kategorii interwencji 181) obejmujące następujące typy operacji:</w:t>
      </w:r>
      <w:r>
        <w:br/>
        <w:t xml:space="preserve">- przygotowanie i prowadzenie badań ewaluacyjnych oraz upowszechnianie wyników badań ewaluacyjnych. </w:t>
      </w:r>
      <w:r>
        <w:br/>
        <w:t>W ramach działania Wsparcie beneficjentów i potencjalnych beneficjentów FE SL będą realizowane zadania:</w:t>
      </w:r>
      <w:r>
        <w:br/>
        <w:t>Zadanie 5. Wsparcie beneficjentów</w:t>
      </w:r>
      <w:r w:rsidR="002D509E">
        <w:t xml:space="preserve"> </w:t>
      </w:r>
      <w:r>
        <w:t>(w ramach kategorii interwencji 182) obejmujące następujące typy operacji:</w:t>
      </w:r>
      <w:r>
        <w:br/>
        <w:t>-finansowanie</w:t>
      </w:r>
      <w:r w:rsidR="002D509E">
        <w:t xml:space="preserve"> </w:t>
      </w:r>
      <w:r>
        <w:t>rozwój kompetencji beneficjentów i potencjalnych beneficjentów niezbędnych do skutecznego aplikowania o fundusze UE, prowadzenia i rozliczania projektów, poprzez m.in. organizowanie szkoleń, usług doradczych, działań animacyjnych, konsultacji i spotkań informacyjnych ze szczególnym uwzględnieniem</w:t>
      </w:r>
      <w:r w:rsidR="002D509E">
        <w:t xml:space="preserve"> </w:t>
      </w:r>
      <w:r>
        <w:t xml:space="preserve">założeń Europejskiego Zielonego Ładu i zasady DNSH, zasad </w:t>
      </w:r>
      <w:r>
        <w:lastRenderedPageBreak/>
        <w:t>horyzontalnych w projektach, w tym niedyskryminacji, szczególnie dla kadry w instytucjach z obszaru: edukacji, zdrowia i pomocy społecznej w zakresie przeciwdziałania i zwalczania dyskryminacji osób i grup narażonych/ dyskryminowanych;</w:t>
      </w:r>
      <w:r>
        <w:br/>
        <w:t>- finansowanie działań związanych z</w:t>
      </w:r>
      <w:r w:rsidR="002D509E">
        <w:t xml:space="preserve"> </w:t>
      </w:r>
      <w:r>
        <w:t>wymianą doświadczeń i najlepszych praktyk w zakresie przygotowania i wdrażania projektów;</w:t>
      </w:r>
      <w:r>
        <w:br/>
        <w:t>- finansowanie działań zleconych przez</w:t>
      </w:r>
      <w:r w:rsidR="002D509E">
        <w:t xml:space="preserve"> </w:t>
      </w:r>
      <w:r>
        <w:t>Koordynatora ds. Równości i Niedyskryminacji;</w:t>
      </w:r>
      <w:r>
        <w:br/>
        <w:t>- finansowanie operacji w ramach zadania związanych z zamykaniem RPO WSL 2014-2020 oraz przygotowania okresu programowania 2027+.</w:t>
      </w:r>
      <w:r>
        <w:br/>
        <w:t xml:space="preserve">W ramach działania Wsparcie funkcjonowania komitetów, grup roboczych i doradczych, partnerów realizowane będzie zadanie: </w:t>
      </w:r>
      <w:r>
        <w:br/>
        <w:t>Zadanie 6 Wsparcie KM, grup roboczych i doradczych, partnerów (w ramach kategorii interwencji 182) obejmujące następujące typy operacji:</w:t>
      </w:r>
      <w:r>
        <w:br/>
        <w:t>- kompleksowe zapewnienie</w:t>
      </w:r>
      <w:r w:rsidR="002D509E">
        <w:t xml:space="preserve"> </w:t>
      </w:r>
      <w:r>
        <w:t>funkcjonowania</w:t>
      </w:r>
      <w:r w:rsidR="002D509E">
        <w:t xml:space="preserve"> </w:t>
      </w:r>
      <w:r>
        <w:t>KM i grup roboczych powoływanych przez KM, w tym ds. monitorowania zasad horyzontalnych w skład, której wejdą przedstawiciele organizacji społecznych zrzeszających osoby z grup narażonych na dyskryminację lub zajmujących się równouprawnieniem danej grupy, a także wsparcie grup doradczych zaangażowanych we wdrażanie FE SL, w tym członków KM reprezentujących partnerów społeczno-gospodarczych oraz podmioty społeczeństwa obywatelskiego (art. 8 ust. 1 CPR). Finansowane będą m.in. koszty organizacji posiedzeń, ekspertyz, szkoleń, seminariów, materiałów edukacyjno-informacyjnych dla zapewnienia lepszego monitorowania i oceny zgodności Programu z zasadami horyzontalnymi. Finansowanie wydatków/zadań ponoszonych w ramach Pomocy Technicznej będzie realizowane zgodnie z aktualnymi Zasadami finansowania funkcjonowania Komitetu Monitorującego Program Fundusze Europejskie dla Śląskiego 2021-2027, w tym z zastosowaniem stawek jednostkowych.</w:t>
      </w:r>
      <w:r>
        <w:br/>
        <w:t>- finansowanie działań zleconych przez</w:t>
      </w:r>
      <w:r w:rsidR="002D509E">
        <w:t xml:space="preserve"> </w:t>
      </w:r>
      <w:r>
        <w:t>Koordynatora ds. Równości i Niedyskryminacji;</w:t>
      </w:r>
      <w:r>
        <w:br/>
        <w:t>- finansowanie operacji w ramach zadania związanych</w:t>
      </w:r>
      <w:r w:rsidR="002D509E">
        <w:t xml:space="preserve"> </w:t>
      </w:r>
      <w:r>
        <w:t>z zamykaniem RPO WSL 2014-2020 oraz przygotowania okresu programowania 2027+.</w:t>
      </w:r>
      <w:r>
        <w:br/>
      </w:r>
      <w:r>
        <w:br/>
        <w:t xml:space="preserve">W ramach działania Stworzenie spójnego systemu informacji i komunikacji realizowane będzie zadanie: </w:t>
      </w:r>
      <w:r>
        <w:br/>
      </w:r>
      <w:r>
        <w:br/>
        <w:t>Zadanie 7 Promocja i komunikacja</w:t>
      </w:r>
      <w:r w:rsidR="002D509E">
        <w:t xml:space="preserve"> </w:t>
      </w:r>
      <w:r>
        <w:t>( w ramach kategorii interwencji 179) obejmujące następujące typy operacji:</w:t>
      </w:r>
      <w:r>
        <w:br/>
        <w:t>- tworzenie, utrzymanie i rozwój systemu portali /serwisów internetowych związanych z FE SL oraz wykorzystanie innych narzędzi komunikacji elektronicznej, w tym mediów społecznościowych;</w:t>
      </w:r>
      <w:r>
        <w:br/>
        <w:t>- finansowanie przygotowania, produkcji, dystrybucji publikacji, materiałów promocyjnych;</w:t>
      </w:r>
      <w:r>
        <w:br/>
        <w:t>- finansowanie kampanii informacyjnych i promocyjnych skierowanych do opinii publicznej;</w:t>
      </w:r>
      <w:r>
        <w:br/>
        <w:t>- organizacja i współorganizacja wydarzeń (m.in. konferencji, kongresów, pikników, targów), akcji promocyjnych i społecznych i konkursów edukacyjnych i promocyjnych. Na potrzeby wymienionych wydarzeń możliwość zakupu gadżetów jako narzędzia wsparcia promocji.</w:t>
      </w:r>
      <w:r>
        <w:br/>
        <w:t>- zapewnienie finansowania</w:t>
      </w:r>
      <w:r w:rsidR="002D509E">
        <w:t xml:space="preserve"> </w:t>
      </w:r>
      <w:r>
        <w:t>współpracy z Europe Direct, sieciowanie działań i kanałów komunikacyjnych;</w:t>
      </w:r>
      <w:r>
        <w:br/>
        <w:t>- finansowanie działań zleconych przez</w:t>
      </w:r>
      <w:r w:rsidR="002D509E">
        <w:t xml:space="preserve"> </w:t>
      </w:r>
      <w:r>
        <w:t>Koordynatora ds. Równości i Niedyskryminacji;</w:t>
      </w:r>
      <w:r>
        <w:br/>
        <w:t>- finansowanie operacji w ramach zadania związanych z zamykaniem RPO WSL 2014-2020 oraz przygotowania okresu programowania 2027.</w:t>
      </w:r>
      <w:r>
        <w:br/>
      </w:r>
      <w:r>
        <w:lastRenderedPageBreak/>
        <w:br/>
        <w:t>Działania komunikacyjne będą prowadzone z uwzględnieniem zasad dostępności, równości szans i niedyskryminacji, postępującej cyfryzacji i zielonego</w:t>
      </w:r>
      <w:r>
        <w:br/>
        <w:t>ładu. Zgodnie z zasadą zazieleniania działań komunikacyjnych podstawowym trybem informowania przez IZ/IP będzie wersja cyfrowa materiałów.</w:t>
      </w:r>
      <w:r>
        <w:br/>
        <w:t>Ekologiczne podejście do komunikacji oznacza ograniczenie zużycia surowców naturalnych, zastępowanie materiałów drukowanych wersjami cyfrowymi,</w:t>
      </w:r>
      <w:r>
        <w:br/>
        <w:t>wykorzystanie materiałów przyjaznych dla środowiska lub powstałych np. z recyklingu.</w:t>
      </w:r>
      <w:r>
        <w:br/>
      </w:r>
      <w:r>
        <w:br/>
        <w:t>Wszystkie Działania będą realizowane z uwzględnieniem zasad horyzontalnych (zgodnie z art. 9 Rozporządzenia Parlamentu Europejskiego i Rady (UE) nr 2021/1060 z dnia 24 czerwca 2021 r.), a obowiązek ich stosowania wynika z Umowy Partnerstwa, programu oraz wytycznych.</w:t>
      </w:r>
      <w:r>
        <w:br/>
      </w:r>
      <w:r>
        <w:br/>
        <w:t>Beneficjentami Pomocy Technicznej w ramach FE SL 2021-2027 są:</w:t>
      </w:r>
      <w:r>
        <w:br/>
        <w:t>- Województwo Śląskie</w:t>
      </w:r>
      <w:r>
        <w:br/>
        <w:t>- Instytucje Pośredniczące: Wojewódzki Urząd Pracy w Katowicach oraz Śląskie Centrum Przedsiębiorczości.</w:t>
      </w:r>
      <w:r>
        <w:br/>
      </w:r>
      <w:r>
        <w:br/>
      </w:r>
    </w:p>
    <w:p w14:paraId="02C521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1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21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1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21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1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1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1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1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1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stawka jednostkowa w oparciu o metodykę IZ [art. 53(3)(a) CPR]</w:t>
      </w:r>
    </w:p>
    <w:p w14:paraId="02C521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1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1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1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21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21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21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1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21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1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1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1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21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1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pomoc_techniczna</w:t>
      </w:r>
    </w:p>
    <w:p w14:paraId="02C521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1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1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1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WLWK-PLRO158 - Liczba działań informacyjno-promocyjnych o szerokim zasięgu</w:t>
      </w:r>
    </w:p>
    <w:p w14:paraId="02C521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WLWK-PLRO151 - Liczba przeprowadzonych ewaluacji</w:t>
      </w:r>
    </w:p>
    <w:p w14:paraId="02C521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WLWK-PLRO150 - Liczba uczestników form szkoleniowych dla instytucji</w:t>
      </w:r>
    </w:p>
    <w:p w14:paraId="02C521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WLWK-PLRO192 - Liczba zakupionych komputerów</w:t>
      </w:r>
    </w:p>
    <w:p w14:paraId="02C521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WLWK-PLRO149 - Średnioroczna liczba etatów finansowanych z Pomocy Technicznej</w:t>
      </w:r>
    </w:p>
    <w:p w14:paraId="02C521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1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02C521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2123"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26" w:name="_Toc235079864"/>
      <w:r>
        <w:rPr>
          <w:rFonts w:ascii="Calibri" w:hAnsi="Calibri" w:cs="Calibri"/>
          <w:i w:val="0"/>
          <w:sz w:val="32"/>
        </w:rPr>
        <w:t>Priorytet FESL.13 Fundusze Europejskie na pomoc techniczną FST</w:t>
      </w:r>
      <w:bookmarkEnd w:id="126"/>
    </w:p>
    <w:p w14:paraId="02C521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21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21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21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Fundusz na rzecz Sprawiedliwej Transformacji</w:t>
      </w:r>
    </w:p>
    <w:p w14:paraId="02C521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21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PT - Pomoc Techniczna</w:t>
      </w:r>
    </w:p>
    <w:p w14:paraId="02C521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21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21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21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88 674 760,00</w:t>
      </w:r>
    </w:p>
    <w:p w14:paraId="02C521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21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88 674 760,00</w:t>
      </w:r>
    </w:p>
    <w:p w14:paraId="02C521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21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1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21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21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21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1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137"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27" w:name="_Toc235079865"/>
      <w:r>
        <w:rPr>
          <w:rFonts w:ascii="Calibri" w:hAnsi="Calibri" w:cs="Calibri"/>
          <w:sz w:val="32"/>
        </w:rPr>
        <w:t>Działanie FESL.13.01 Pomoc Techniczna FST</w:t>
      </w:r>
      <w:bookmarkEnd w:id="127"/>
    </w:p>
    <w:p w14:paraId="02C521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1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PT.1 - Pomoc Techniczna</w:t>
      </w:r>
    </w:p>
    <w:p w14:paraId="02C521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1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88 674 760,00</w:t>
      </w:r>
    </w:p>
    <w:p w14:paraId="02C521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1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88 674 760,00</w:t>
      </w:r>
    </w:p>
    <w:p w14:paraId="02C521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1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179 - Informacja i komunikacja, 180 - Przygotowanie, wdrażanie, monitorowanie i kontrola, 181 - Ewaluacja i badania, gromadzenie danych, 182 - Wzmocnienie potencjału instytucji państwa członkowskiego, beneficjentów i odpowiednich partnerów</w:t>
      </w:r>
    </w:p>
    <w:p w14:paraId="02C521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141" w14:textId="550641B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PT jest wspieranie skutecznej i efektywnej realizacji FE SL, w szczególności FST.</w:t>
      </w:r>
      <w:r>
        <w:br/>
        <w:t>W ramach celu będą realizowane</w:t>
      </w:r>
      <w:r w:rsidR="002D509E">
        <w:t xml:space="preserve"> </w:t>
      </w:r>
      <w:r>
        <w:t>następujące działania:</w:t>
      </w:r>
      <w:r>
        <w:br/>
      </w:r>
      <w:r>
        <w:lastRenderedPageBreak/>
        <w:t>1.</w:t>
      </w:r>
      <w:r>
        <w:tab/>
        <w:t>Wsparcie instytucji FE SL w zarządzaniu zasobami ludzkimi (ZZL) i wzmocnienie ich potencjału administracyjnego;</w:t>
      </w:r>
      <w:r>
        <w:br/>
        <w:t>2.</w:t>
      </w:r>
      <w:r>
        <w:tab/>
        <w:t>Wsparcie skutecznych procedur i procesów we wdrażaniu FE SL;</w:t>
      </w:r>
      <w:r>
        <w:br/>
        <w:t>3.</w:t>
      </w:r>
      <w:r>
        <w:tab/>
        <w:t>Wsparcie beneficjentów i potencjalnych beneficjentów FE SL;</w:t>
      </w:r>
      <w:r>
        <w:br/>
        <w:t>4.</w:t>
      </w:r>
      <w:r>
        <w:tab/>
        <w:t>Wsparcie funkcjonowania komitetów, grup roboczych i doradczych, partnerów;</w:t>
      </w:r>
      <w:r>
        <w:br/>
        <w:t>5.</w:t>
      </w:r>
      <w:r>
        <w:tab/>
        <w:t xml:space="preserve">Stworzenie spójnego systemu informacji i komunikacji </w:t>
      </w:r>
      <w:r>
        <w:br/>
        <w:t>W ramach działania Wsparcie instytucji FE SL w zarządzaniu zasobami ludzkimi (ZZL) i wzmocnienie ich potencjału administracyjnego planuje się realizację zadań</w:t>
      </w:r>
      <w:r>
        <w:br/>
        <w:t>Zadanie 1 Wsparcie Instytucji (w ramach kategorii interwencji 180) obejmujące następujące typy operacji:</w:t>
      </w:r>
      <w:r>
        <w:br/>
        <w:t xml:space="preserve">– zapewnienie odpowiedniego systemu wynagradzania pracowników zaangażowanych w realizacje FE SL 21-27 zgodnie z zasadami określonymi w regulaminach zatrudniania, wynagradzania, awansowania i nagradzania w poszczególnych jednostkach; </w:t>
      </w:r>
      <w:r>
        <w:br/>
        <w:t>- zapewnienie finansowania kosztów związanych z</w:t>
      </w:r>
      <w:r w:rsidR="002D509E">
        <w:t xml:space="preserve"> </w:t>
      </w:r>
      <w:r>
        <w:t>zamykaniem</w:t>
      </w:r>
      <w:r w:rsidR="002D509E">
        <w:t xml:space="preserve"> </w:t>
      </w:r>
      <w:r>
        <w:t>RPO 2014-2020 oraz przygotowywaniem perspektywy po 2027 r.;</w:t>
      </w:r>
      <w:r>
        <w:br/>
        <w:t>- finansowanie wydatków administracyjnych i organizacyjnych umożliwiających sprawną realizację procesów związanych z realizacją FE SL 2021-2027 (w tym m.in. koszty delegacji, czynsze, media, opłaty eksploatacyjne , zakup materiałów eksploatacyjnych i biurowych, wyposażenia biurowego i sprzętu komputerowego oraz adaptacja, remont i modernizacja służące utrzymaniu stanu pomieszczeń biurowych, konferencyjnych oraz archiwów);</w:t>
      </w:r>
      <w:r>
        <w:br/>
        <w:t>- finansowanie działań zleconych przez</w:t>
      </w:r>
      <w:r w:rsidR="002D509E">
        <w:t xml:space="preserve"> </w:t>
      </w:r>
      <w:r>
        <w:t>Koordynatora ds. Równości i Niedyskryminacji.</w:t>
      </w:r>
      <w:r>
        <w:br/>
      </w:r>
      <w:r>
        <w:br/>
        <w:t>Zadanie 2 Podnoszenie kwalifikacji (w ramach kategorii interwencji 182) obejmujące następujące typy operacji:</w:t>
      </w:r>
      <w:r>
        <w:br/>
        <w:t>- finansowanie rozwoju i doskonalenie kadr zaangażowanych w realizację FE SL 21-27 poprzez wszelkie formy dokształcania zgodnie z założeniami Planu ZZL ze szczególnym m.in.: uproszczenia, zmniejszania obciążeń administracyjnych, poprawa jakości świadczonych usług, stosowanie zielonych i społecznych zamówień, ochrona bioróżnorodności, zasady horyzontalne (w tym koszty delegacji związanych z podnoszeniem kwalifikacji);</w:t>
      </w:r>
      <w:r>
        <w:br/>
        <w:t>- finansowanie działań zleconych przez</w:t>
      </w:r>
      <w:r w:rsidR="002D509E">
        <w:t xml:space="preserve"> </w:t>
      </w:r>
      <w:r>
        <w:t>Koordynatora ds. Równości i Niedyskryminacji.</w:t>
      </w:r>
      <w:r>
        <w:br/>
        <w:t>W ramach Działania Wsparcie skutecznych procedur i procesów we wdrażaniu FE SL będą realizowane zadania:</w:t>
      </w:r>
      <w:r>
        <w:br/>
        <w:t>Zadanie 3 Wsparcie zarządzania i wdrażania (w ramach kategorii interwencji 180) obejmujące następujące typy operacji:</w:t>
      </w:r>
      <w:r>
        <w:br/>
        <w:t>- finansowanie działań związanych z zapewnieniem systemów informatycznych wraz z infrastrukturą niezbędną do wdrażania FE SL 21-27;</w:t>
      </w:r>
      <w:r>
        <w:br/>
        <w:t>- finansowanie wydatków związanych z odzyskiwaniem od Beneficjentów kwot wykorzystanych niezgodnie z przeznaczeniem, z naruszeniem procedur lub pobranych nienależnie lub w nadmiernej wysokości oraz wydatków wynikających z zastosowania procedur odwoławczych, w tym kosztów sądowych;</w:t>
      </w:r>
      <w:r>
        <w:br/>
        <w:t>- finansowanie działań zleconych przez</w:t>
      </w:r>
      <w:r w:rsidR="002D509E">
        <w:t xml:space="preserve"> </w:t>
      </w:r>
      <w:r>
        <w:t>Koordynatora ds. Równości i Niedyskryminacji;</w:t>
      </w:r>
      <w:r>
        <w:br/>
        <w:t>- finansowanie m.in.</w:t>
      </w:r>
      <w:r w:rsidR="002D509E">
        <w:t xml:space="preserve"> </w:t>
      </w:r>
      <w:r>
        <w:t>analiz i studiów, ekspertyz i opinii prawnych związanych z realizacją FE SL;</w:t>
      </w:r>
      <w:r>
        <w:br/>
      </w:r>
      <w:r>
        <w:lastRenderedPageBreak/>
        <w:t>- finansowanie operacji w ramach zadania związanych z zamykaniem RPO WSL 2014-2020 oraz przygotowania okresu programowania 2027+;</w:t>
      </w:r>
      <w:r>
        <w:br/>
        <w:t>- zapewnienie finansowania usług zleconych w ramach zadań RPO WSL m.in. w zakresie analiz, ekspertyz, tłumaczeń, ocen, wsparcia procesu wyboru projektów oraz opinii w tym wsparcia eksperckiego i prawnego na potrzeby realizacji FE SL 21-27;</w:t>
      </w:r>
      <w:r>
        <w:br/>
        <w:t>- zapewnienie finansowania wydatków związanych ze wsparciem procesu wyboru projektu (eksperci KOP wewnętrzni i zewnętrzni).</w:t>
      </w:r>
      <w:r>
        <w:br/>
        <w:t>Zadanie 4.</w:t>
      </w:r>
      <w:r w:rsidR="002D509E">
        <w:t xml:space="preserve"> </w:t>
      </w:r>
      <w:r>
        <w:t>Badania ewaluacyjne (kategorii interwencji 181) obejmujące następujące typy operacji:</w:t>
      </w:r>
      <w:r>
        <w:br/>
        <w:t xml:space="preserve">- przygotowanie i prowadzenie badań ewaluacyjnych oraz upowszechnianie wyników badań ewaluacyjnych. </w:t>
      </w:r>
      <w:r>
        <w:br/>
        <w:t>W ramach działania Wsparcie beneficjentów i potencjalnych beneficjentów FE SL będą realizowane zadania:</w:t>
      </w:r>
      <w:r>
        <w:br/>
        <w:t>Zadanie 5. Wsparcie beneficjentów</w:t>
      </w:r>
      <w:r w:rsidR="002D509E">
        <w:t xml:space="preserve"> </w:t>
      </w:r>
      <w:r>
        <w:t>(w ramach kategorii interwencji 182) obejmujące następujące typy operacji:</w:t>
      </w:r>
      <w:r>
        <w:br/>
        <w:t>-finansowanie</w:t>
      </w:r>
      <w:r w:rsidR="002D509E">
        <w:t xml:space="preserve"> </w:t>
      </w:r>
      <w:r>
        <w:t>rozwój kompetencji beneficjentów i potencjalnych beneficjentów niezbędnych do skutecznego aplikowania o fundusze UE, prowadzenia i rozliczania projektów, poprzez m.in. organizowanie szkoleń, usług doradczych, działań animacyjnych, konsultacji i spotkań informacyjnych ze szczególnym uwzględnieniem</w:t>
      </w:r>
      <w:r w:rsidR="002D509E">
        <w:t xml:space="preserve"> </w:t>
      </w:r>
      <w:r>
        <w:t>założeń Europejskiego Zielonego Ładu i zasady DNSH, zasad horyzontalnych w projektach, w tym niedyskryminacji, szczególnie dla kadry w instytucjach z obszaru: edukacji, zdrowia i pomocy społecznej w zakresie przeciwdziałania i zwalczania dyskryminacji osób i grup narażonych/ dyskryminowanych;</w:t>
      </w:r>
      <w:r>
        <w:br/>
        <w:t>- finansowanie działań związanych z</w:t>
      </w:r>
      <w:r w:rsidR="002D509E">
        <w:t xml:space="preserve"> </w:t>
      </w:r>
      <w:r>
        <w:t>wymianą doświadczeń i najlepszych praktyk w zakresie przygotowania i wdrażania projektów;</w:t>
      </w:r>
      <w:r>
        <w:br/>
        <w:t>- finansowanie działań zleconych przez</w:t>
      </w:r>
      <w:r w:rsidR="002D509E">
        <w:t xml:space="preserve"> </w:t>
      </w:r>
      <w:r>
        <w:t>Koordynatora ds. Równości i Niedyskryminacji;</w:t>
      </w:r>
      <w:r>
        <w:br/>
        <w:t>- finansowanie operacji w ramach zadania związanych z zamykaniem RPO WSL 2014-2020 oraz przygotowania okresu programowania 2027+.</w:t>
      </w:r>
      <w:r>
        <w:br/>
        <w:t xml:space="preserve">W ramach działania Wsparcie funkcjonowania komitetów, grup roboczych i doradczych, partnerów realizowane będzie zadanie: </w:t>
      </w:r>
      <w:r>
        <w:br/>
        <w:t>Zadanie 6 Wsparcie KM, grup roboczych i doradczych, partnerów (w ramach kategorii interwencji 182) obejmujące następujące typy operacji:</w:t>
      </w:r>
      <w:r>
        <w:br/>
        <w:t>- kompleksowe zapewnienie</w:t>
      </w:r>
      <w:r w:rsidR="002D509E">
        <w:t xml:space="preserve"> </w:t>
      </w:r>
      <w:r>
        <w:t>funkcjonowania</w:t>
      </w:r>
      <w:r w:rsidR="002D509E">
        <w:t xml:space="preserve"> </w:t>
      </w:r>
      <w:r>
        <w:t>KM i grup roboczych powoływanych przez KM, w tym ds. monitorowania zasad horyzontalnych w skład, której wejdą przedstawiciele organizacji społecznych zrzeszających osoby z grup narażonych na dyskryminację lub zajmujących się równouprawnieniem danej grupy, a także wsparcie grup doradczych zaangażowanych we wdrażanie FE SL, w tym członków KM reprezentujących partnerów społeczno-gospodarczych oraz podmioty społeczeństwa obywatelskiego (art. 8 ust. 1 CPR). Finansowane będą m.in. koszty organizacji posiedzeń, ekspertyz, szkoleń, seminariów, materiałów edukacyjno-informacyjnych dla zapewnienia lepszego monitorowania i oceny zgodności Programu z zasadami horyzontalnymi. Finansowanie wydatków/zadań ponoszonych w ramach Pomocy Technicznej będzie realizowane zgodnie z aktualnymi Zasadami finansowania funkcjonowania Komitetu Monitorującego Program Fundusze Europejskie dla Śląskiego 2021-2027, w tym z zastosowaniem stawek jednostkowych.</w:t>
      </w:r>
      <w:r>
        <w:br/>
        <w:t>- finansowanie działań zleconych przez</w:t>
      </w:r>
      <w:r w:rsidR="002D509E">
        <w:t xml:space="preserve"> </w:t>
      </w:r>
      <w:r>
        <w:t>Koordynatora ds. Równości i Niedyskryminacji;</w:t>
      </w:r>
      <w:r>
        <w:br/>
      </w:r>
      <w:r>
        <w:lastRenderedPageBreak/>
        <w:t>- finansowanie operacji w ramach zadania związanych</w:t>
      </w:r>
      <w:r w:rsidR="002D509E">
        <w:t xml:space="preserve"> </w:t>
      </w:r>
      <w:r>
        <w:t>z zamykaniem RPO WSL 2014-2020 oraz przygotowania okresu programowania 2027+.</w:t>
      </w:r>
      <w:r>
        <w:br/>
      </w:r>
      <w:r>
        <w:br/>
        <w:t xml:space="preserve">W ramach działania Stworzenie spójnego systemu informacji i komunikacji realizowane będzie zadanie: </w:t>
      </w:r>
      <w:r>
        <w:br/>
      </w:r>
      <w:r>
        <w:br/>
        <w:t>Zadanie 7 Promocja i komunikacja</w:t>
      </w:r>
      <w:r w:rsidR="002D509E">
        <w:t xml:space="preserve"> </w:t>
      </w:r>
      <w:r>
        <w:t>( w ramach kategorii interwencji 179) obejmujące następujące typy operacji:</w:t>
      </w:r>
      <w:r>
        <w:br/>
        <w:t>- tworzenie, utrzymanie i rozwój systemu portali /serwisów internetowych związanych z FE SL oraz wykorzystanie innych narzędzi komunikacji elektronicznej, w tym mediów społecznościowych;</w:t>
      </w:r>
      <w:r>
        <w:br/>
        <w:t>- finansowanie przygotowania, produkcji, dystrybucji publikacji, materiałów promocyjnych;</w:t>
      </w:r>
      <w:r>
        <w:br/>
        <w:t>- finansowanie kampanii informacyjnych i promocyjnych skierowanych do opinii publicznej;</w:t>
      </w:r>
      <w:r>
        <w:br/>
        <w:t>- organizacja i współorganizacja wydarzeń (m.in. konferencji, kongresów, pikników, targów), akcji promocyjnych i społecznych i konkursów edukacyjnych i promocyjnych. Na potrzeby wymienionych wydarzeń możliwość zakupu gadżetów jako narzędzia wsparcia promocji;</w:t>
      </w:r>
      <w:r>
        <w:br/>
        <w:t>- zapewnienie finansowania</w:t>
      </w:r>
      <w:r w:rsidR="002D509E">
        <w:t xml:space="preserve"> </w:t>
      </w:r>
      <w:r>
        <w:t>współpracy z Europe Direct, sieciowanie działań i kanałów komunikacyjnych;</w:t>
      </w:r>
      <w:r>
        <w:br/>
        <w:t>- finansowanie działań zleconych przez</w:t>
      </w:r>
      <w:r w:rsidR="002D509E">
        <w:t xml:space="preserve"> </w:t>
      </w:r>
      <w:r>
        <w:t>Koordynatora ds. Równości i Niedyskryminacji;</w:t>
      </w:r>
      <w:r>
        <w:br/>
        <w:t>- finansowanie operacji w ramach zadania związanych z zamykaniem RPO WSL 2014-2020 oraz przygotowania okresu programowania 2027.</w:t>
      </w:r>
      <w:r>
        <w:br/>
      </w:r>
      <w:r>
        <w:br/>
        <w:t>Działania komunikacyjne będą prowadzone z uwzględnieniem zasad dostępności, równości szans i niedyskryminacji, postępującej cyfryzacji i zielonego</w:t>
      </w:r>
      <w:r>
        <w:br/>
        <w:t>ładu. Zgodnie z zasadą zazieleniania działań komunikacyjnych podstawowym trybem informowania przez IZ/IP będzie wersja cyfrowa materiałów.</w:t>
      </w:r>
      <w:r>
        <w:br/>
        <w:t>Ekologiczne podejście do komunikacji oznacza ograniczenie zużycia surowców naturalnych, zastępowanie materiałów drukowanych wersjami cyfrowymi,</w:t>
      </w:r>
      <w:r>
        <w:br/>
        <w:t>wykorzystanie materiałów przyjaznych dla środowiska lub powstałych np. z recyklingu.</w:t>
      </w:r>
      <w:r>
        <w:br/>
      </w:r>
      <w:r>
        <w:br/>
        <w:t>Wszystkie Działania będą realizowane z uwzględnieniem zasad horyzontalnych (zgodnie z art. 9 Rozporządzenia Parlamentu Europejskiego i Rady (UE) nr 2021/1060 z dnia 24 czerwca 2021 r.), a obowiązek ich stosowania wynika z Umowy Partnerstwa, programu oraz wytycznych.</w:t>
      </w:r>
      <w:r>
        <w:br/>
      </w:r>
      <w:r>
        <w:br/>
        <w:t>Beneficjentami Pomocy Technicznej w ramach FE SL 2021-2027 są:</w:t>
      </w:r>
      <w:r>
        <w:br/>
        <w:t>- Województwo Śląskie</w:t>
      </w:r>
      <w:r>
        <w:br/>
        <w:t>- Instytucje Pośredniczące: Wojewódzki Urząd Pracy w Katowicach oraz Śląskie Centrum Przedsiębiorczości.</w:t>
      </w:r>
      <w:r>
        <w:br/>
      </w:r>
    </w:p>
    <w:p w14:paraId="02C521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1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21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21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C521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1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1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1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1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1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stawka jednostkowa w oparciu o metodykę IZ [art. 53(3)(a) CPR]</w:t>
      </w:r>
    </w:p>
    <w:p w14:paraId="02C521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1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1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1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1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21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21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1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21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1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1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1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21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1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pomoc_techniczna</w:t>
      </w:r>
    </w:p>
    <w:p w14:paraId="02C521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1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1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1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WLWK-PLRO158 - Liczba działań informacyjno-promocyjnych o szerokim zasięgu</w:t>
      </w:r>
    </w:p>
    <w:p w14:paraId="02C521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WLWK-PLRO151 - Liczba przeprowadzonych ewaluacji</w:t>
      </w:r>
    </w:p>
    <w:p w14:paraId="02C521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WLWK-PLRO150 - Liczba uczestników form szkoleniowych dla instytucji</w:t>
      </w:r>
    </w:p>
    <w:p w14:paraId="02C521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WLWK-PLRO192 - Liczba zakupionych komputerów</w:t>
      </w:r>
    </w:p>
    <w:p w14:paraId="02C521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WLWK-PLRO149 - Średnioroczna liczba etatów finansowanych z Pomocy Technicznej</w:t>
      </w:r>
    </w:p>
    <w:p w14:paraId="02C521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1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02C521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2165"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28" w:name="_Toc235079866"/>
      <w:r>
        <w:rPr>
          <w:rFonts w:ascii="Calibri" w:hAnsi="Calibri" w:cs="Calibri"/>
          <w:i w:val="0"/>
          <w:sz w:val="32"/>
        </w:rPr>
        <w:t>Priorytet FESL.14 Fundusze Europejskie na odbudowę regionu po klęskach żywiołowych</w:t>
      </w:r>
      <w:bookmarkEnd w:id="128"/>
    </w:p>
    <w:p w14:paraId="02C521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21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21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21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02C521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21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14:paraId="02C521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21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21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21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115 000 000,00</w:t>
      </w:r>
    </w:p>
    <w:p w14:paraId="02C521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21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115 000 000,00</w:t>
      </w:r>
    </w:p>
    <w:p w14:paraId="02C521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21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1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21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21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21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21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179"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29" w:name="_Toc235079867"/>
      <w:r>
        <w:rPr>
          <w:rFonts w:ascii="Calibri" w:hAnsi="Calibri" w:cs="Calibri"/>
          <w:sz w:val="32"/>
        </w:rPr>
        <w:t>Działanie FESL.14.01 Odbudowa dróg lokalnych</w:t>
      </w:r>
      <w:bookmarkEnd w:id="129"/>
    </w:p>
    <w:p w14:paraId="02C521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1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EFRR/FS.CP2.X - Wspieranie inwestycji mających na celu odbudowę w odpowiedzi na klęskę żywiołową, która występuje między dniem 1 stycznia 2024 r. a dniem 31 grudnia 2025 r.</w:t>
      </w:r>
    </w:p>
    <w:p w14:paraId="02C521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1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58 000 000,00</w:t>
      </w:r>
    </w:p>
    <w:p w14:paraId="02C521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1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58 000 000,00</w:t>
      </w:r>
    </w:p>
    <w:p w14:paraId="02C521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1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090 - Nowo wybudowane lub rozbudowane inne krajowe, regionalne i lokalne drogi dojazdowe, 093 - Inne drogi przebudowane lub zmodernizowane (autostrady, drogi krajowe, regionalne lub lokalne)</w:t>
      </w:r>
    </w:p>
    <w:p w14:paraId="02C521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183" w14:textId="7E21B01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odpowiedzi na skutki klęski żywiołowej, która nawiedziła część województwa śląskiego we wrześniu 2024 roku, działanie przewiduje wsparcie inwestycji w infrastrukturę transportu lokalnego. Celem jest odbudowa, naprawa oraz zbudowanie odporności infrastruktury drogowej – dróg gminnych i powiatowych - na zróżnicowane zmiany klimatyczne.</w:t>
      </w:r>
      <w:r>
        <w:br/>
        <w:t>Ze względu na konieczność budowy odporności gmin szczególnie narażonych na przyszłe katastrofy w związku ze zmianami klimatycznymi oraz w uzasadnionych przypadkach (m.in. zapewnienie alternatywnego połączenia dla obszarów o szczególnym ryzyku powodziowym, zapewnienie pełnego przywrócenia do użytku infrastruktury komunikacyjnej i umożliwienie realizacji usług publicznych, zapewnienie dostępu służb ratunkowych), możliwe będzie również wsparcie infrastruktury, która nie ucierpiała w wyniku powodzi, ale jest bezpośrednio związana z infrastrukturą dotkniętą skutkami powodzi.</w:t>
      </w:r>
      <w:r>
        <w:br/>
        <w:t>Na etapie oceny projektów preferowane będą przedsięwzięcia obejmujące infrastrukturę drogową uszkodzoną w wyniku powodzi, potwierdzone protokołem weryfikacji szkód sporządzonym przez służby Wojewody Śląskiego.</w:t>
      </w:r>
      <w:r>
        <w:br/>
      </w:r>
      <w:r>
        <w:br/>
        <w:t xml:space="preserve">Z uwagi na nierównomierny rozkład przestrzenny strat wywołanych przez powódź, wprowadza się terytorialny podział środków na poszczególne powiaty. Podział opiera się o wartość szkód dotyczących infrastruktury drogowej, stwierdzonych w poszczególnych jednostkach, zagregowanych do poziomu powiatów. Podstawą informacji są protokoły weryfikacji Komisji Wojewódzkiej do spraw weryfikacji strat powstałych w wyniku zdarzeń noszących znamiona klęski żywiołowej, sporządzone na podstawie </w:t>
      </w:r>
      <w:r>
        <w:lastRenderedPageBreak/>
        <w:t>zarządzenia nr 304/24 Wojewody Śląskiego z dnia 20 sierpnia 2024 r.</w:t>
      </w:r>
      <w:r>
        <w:br/>
        <w:t xml:space="preserve">Wartości opierają się na protokołach przekazanych do UMWSL. </w:t>
      </w:r>
      <w:r>
        <w:br/>
      </w:r>
      <w:r>
        <w:br/>
        <w:t>Powiat</w:t>
      </w:r>
      <w:r>
        <w:tab/>
        <w:t>Udział (%)</w:t>
      </w:r>
      <w:r>
        <w:tab/>
        <w:t>Przyznana alokacja (EUR)</w:t>
      </w:r>
      <w:r>
        <w:br/>
        <w:t>Bielsko-Biała</w:t>
      </w:r>
      <w:r>
        <w:tab/>
        <w:t>3,2%</w:t>
      </w:r>
      <w:r>
        <w:tab/>
      </w:r>
      <w:r w:rsidR="002D509E">
        <w:t xml:space="preserve"> </w:t>
      </w:r>
      <w:r>
        <w:t xml:space="preserve">1 828 000 </w:t>
      </w:r>
      <w:r>
        <w:br/>
        <w:t>bielski</w:t>
      </w:r>
      <w:r>
        <w:tab/>
      </w:r>
      <w:r w:rsidR="002D509E">
        <w:t xml:space="preserve"> </w:t>
      </w:r>
      <w:r>
        <w:t>57,5%</w:t>
      </w:r>
      <w:r>
        <w:tab/>
      </w:r>
      <w:r w:rsidR="002D509E">
        <w:t xml:space="preserve"> </w:t>
      </w:r>
      <w:r>
        <w:t xml:space="preserve">33 359 000 </w:t>
      </w:r>
      <w:r>
        <w:br/>
        <w:t>cieszyński</w:t>
      </w:r>
      <w:r>
        <w:tab/>
        <w:t>13,7%</w:t>
      </w:r>
      <w:r>
        <w:tab/>
      </w:r>
      <w:r w:rsidR="002D509E">
        <w:t xml:space="preserve"> </w:t>
      </w:r>
      <w:r>
        <w:t xml:space="preserve">7 947 000 </w:t>
      </w:r>
      <w:r>
        <w:br/>
        <w:t>pszczyński</w:t>
      </w:r>
      <w:r>
        <w:tab/>
        <w:t>4,2%</w:t>
      </w:r>
      <w:r>
        <w:tab/>
      </w:r>
      <w:r w:rsidR="002D509E">
        <w:t xml:space="preserve"> </w:t>
      </w:r>
      <w:r>
        <w:t xml:space="preserve">2 444 000 </w:t>
      </w:r>
      <w:r>
        <w:br/>
        <w:t>raciborski</w:t>
      </w:r>
      <w:r>
        <w:tab/>
        <w:t>21,4%</w:t>
      </w:r>
      <w:r>
        <w:tab/>
      </w:r>
      <w:r w:rsidR="002D509E">
        <w:t xml:space="preserve"> </w:t>
      </w:r>
      <w:r>
        <w:t xml:space="preserve">12 422 000 </w:t>
      </w:r>
      <w:r>
        <w:br/>
        <w:t>SUMA</w:t>
      </w:r>
      <w:r>
        <w:tab/>
      </w:r>
      <w:r w:rsidR="002D509E">
        <w:t xml:space="preserve"> </w:t>
      </w:r>
      <w:r>
        <w:t xml:space="preserve">58 000 000 </w:t>
      </w:r>
      <w:r>
        <w:br/>
      </w:r>
      <w:r>
        <w:br/>
        <w:t xml:space="preserve">Lista podmiotów uprawnionych do ubiegania się o wsparcie w Działaniu 14.1: </w:t>
      </w:r>
      <w:r>
        <w:br/>
      </w:r>
      <w:r>
        <w:br/>
        <w:t xml:space="preserve">Bielsko-Biała </w:t>
      </w:r>
      <w:r>
        <w:br/>
        <w:t>powiat bielski</w:t>
      </w:r>
      <w:r>
        <w:br/>
        <w:t>Jasienica</w:t>
      </w:r>
      <w:r>
        <w:br/>
        <w:t>Jaworze</w:t>
      </w:r>
      <w:r>
        <w:br/>
        <w:t>Bestwina</w:t>
      </w:r>
      <w:r>
        <w:br/>
        <w:t>Wilamowice</w:t>
      </w:r>
      <w:r>
        <w:br/>
        <w:t>Porąbka</w:t>
      </w:r>
      <w:r>
        <w:br/>
        <w:t>Wilkowice</w:t>
      </w:r>
      <w:r>
        <w:br/>
        <w:t>Kozy</w:t>
      </w:r>
      <w:r>
        <w:br/>
        <w:t>Czechowice-Dziedzice</w:t>
      </w:r>
      <w:r>
        <w:br/>
        <w:t>powiat cieszyński</w:t>
      </w:r>
      <w:r>
        <w:br/>
        <w:t>Goleszów</w:t>
      </w:r>
      <w:r>
        <w:br/>
        <w:t>Strumień</w:t>
      </w:r>
      <w:r>
        <w:br/>
        <w:t>Skoczów</w:t>
      </w:r>
      <w:r>
        <w:br/>
        <w:t>Ustroń</w:t>
      </w:r>
      <w:r>
        <w:br/>
        <w:t>Hażlach</w:t>
      </w:r>
      <w:r>
        <w:br/>
        <w:t>Istebna</w:t>
      </w:r>
      <w:r>
        <w:br/>
        <w:t>Zebrzydowice</w:t>
      </w:r>
      <w:r>
        <w:br/>
        <w:t>powiat pszczyński</w:t>
      </w:r>
      <w:r>
        <w:br/>
        <w:t>Goczałkowice Zdrój</w:t>
      </w:r>
      <w:r>
        <w:br/>
        <w:t>Kobiór</w:t>
      </w:r>
      <w:r>
        <w:br/>
        <w:t xml:space="preserve">Miedźna </w:t>
      </w:r>
      <w:r>
        <w:br/>
        <w:t>Pszczyna</w:t>
      </w:r>
      <w:r>
        <w:br/>
        <w:t>powiat raciborski</w:t>
      </w:r>
      <w:r>
        <w:br/>
        <w:t>Kornowac</w:t>
      </w:r>
      <w:r>
        <w:br/>
        <w:t>Krzanowice</w:t>
      </w:r>
      <w:r>
        <w:br/>
        <w:t>Krzyżanowice</w:t>
      </w:r>
      <w:r>
        <w:br/>
        <w:t>Pietrowice Wielkie</w:t>
      </w:r>
      <w:r>
        <w:br/>
        <w:t>Racibórz</w:t>
      </w:r>
      <w:r>
        <w:br/>
      </w:r>
      <w:r>
        <w:lastRenderedPageBreak/>
        <w:t>Rudnik</w:t>
      </w:r>
      <w:r>
        <w:br/>
      </w:r>
      <w:r>
        <w:br/>
        <w:t>W przypadku niewykorzystania przyznanej puli środków w danym powiecie, dostępne środki – decyzją Zarządu Województwa Śląskiego – mogą zostać przesunięte na dofinansowanie lub zwiększenie dofinansowania projektów w innych powiatach, które pierwotnie otrzymały największą alokację. Takie działanie będzie również odzwierciedleniem rzeczywistej skali szkód w poszczególnych powiatach.</w:t>
      </w:r>
      <w:r>
        <w:br/>
      </w:r>
      <w:r>
        <w:br/>
        <w:t>Typy przedsięwzięć:</w:t>
      </w:r>
      <w:r>
        <w:br/>
      </w:r>
      <w:r>
        <w:br/>
        <w:t>•</w:t>
      </w:r>
      <w:r>
        <w:tab/>
        <w:t>Przebudowa, remont i modernizacja dróg gminnych i powiatowych.</w:t>
      </w:r>
      <w:r>
        <w:br/>
        <w:t>•</w:t>
      </w:r>
      <w:r>
        <w:tab/>
        <w:t>Odtwarzanie lub przebudowa obiektów inżynierskich, w tym mostów, przepustów, murów oporowych, ścianek zabezpieczających, systemów odwodnienia.</w:t>
      </w:r>
      <w:r>
        <w:br/>
        <w:t>Możliwa jest zmiana przebiegu dróg/ obiektów drogowych, poprzez budowę, wyłącznie w przypadku zniszczenia infrastruktury i jeżeli jej odtworzenie w dotychczasowym miejscu jest nieuzasadnione z powodu zagrożenia potencjalnymi klęskami żywiołowymi.</w:t>
      </w:r>
      <w:r>
        <w:br/>
        <w:t>W ramach projektów dopuszczalne będą wydatki poniesione na podniesienie poziomu cyberbezpieczeństwa, zgodnie ze standardami wyznaczonymi w ramach krajowego systemu cyberbezpieczeństwa, bez powielania funkcji inwestycji prowadzonych z poziomu krajowego.</w:t>
      </w:r>
      <w:r>
        <w:br/>
      </w:r>
      <w:r>
        <w:br/>
        <w:t>Obligatoryjne warunki wsparcia:</w:t>
      </w:r>
      <w:r>
        <w:br/>
      </w:r>
      <w:r>
        <w:br/>
        <w:t>A) Obszar wsparcia został ograniczony do dróg gminnych i powiatowych zlokalizowanych na terenie gmin objętych stanem klęski żywiołowej, zgodnie z Rozporządzeniem Rady Ministrów z dnia 16 września 2024 r. w sprawie wprowadzenia stanu klęski żywiołowej na obszarze części województwa śląskiego.</w:t>
      </w:r>
      <w:r>
        <w:br/>
        <w:t>Zakres ten został dodatkowo zawężony do jednostek samorządu terytorialnego, które wykazały szkody w infrastrukturze drogowej, potwierdzone przez Wojewódzką Komisję ds. weryfikacji strat powstałych w wyniku zdarzeń noszących znamiona klęski żywiołowej, działającą na zlecenie Wojewody Śląskiego.</w:t>
      </w:r>
      <w:r>
        <w:br/>
      </w:r>
      <w:r>
        <w:br/>
        <w:t>B) Dofinansowanie może obejmować wyłącznie inwestycje lub części inwestycji, które nie zostały sfinansowane z innych źródeł publicznych i prywatnych, w tym z wypłaconego ubezpieczenia.</w:t>
      </w:r>
      <w:r>
        <w:br/>
      </w:r>
      <w:r>
        <w:br/>
        <w:t>C) Wszystkie projekty związane z drogami gminnymi i powiatowymi będą obejmować dostosowanie dróg do nacisku osi 11,5 tony.</w:t>
      </w:r>
      <w:r>
        <w:br/>
      </w:r>
      <w:r>
        <w:br/>
        <w:t>D) W celu uniknięcia dyskryminacji pośredniej, jaką jest nierówny dostęp do informacji, której doświadczają osoby państw trzecich (osoby mieszkające w Polsce o innym pochodzeniu), zaplanowane zostaną działania zapewniające powszechnie dostępne, przejrzyste i aktualizowane przez kompetentne instytucje informacje w językach obcych (angielski/ukraiński).</w:t>
      </w:r>
      <w:r>
        <w:br/>
      </w:r>
      <w:r>
        <w:br/>
        <w:t xml:space="preserve">E) Przy projektowaniu i wdrażaniu przedsięwzięć infrastrukturalnych i organizacyjnych z zakresu mobilności będą podejmowane obligatoryjne działania na rzecz wyrównywania szans oraz przeciwdziałania dyskryminacji w dostępie do infrastruktury i usług transportu miejskiego, zgodnie ze </w:t>
      </w:r>
      <w:r>
        <w:lastRenderedPageBreak/>
        <w:t>standardem: transportowym (w szczególności dla infrastruktury komunikacji publicznej oraz taboru miejskiego), architektonicznym (m.in. odnośnie do stanowisk postojowych, przemieszczania się oraz oznaczeń wewnątrz i na zewnątrz budynków) oraz cyfrowym (odnośnie do sprzętu informatycznego szczególnego przeznaczenia, np. biletomatów) .</w:t>
      </w:r>
      <w:r>
        <w:br/>
        <w:t>F) 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r>
        <w:br/>
      </w:r>
      <w:r>
        <w:br/>
        <w:t xml:space="preserve">Preferowane warunki wsparcia: </w:t>
      </w:r>
      <w:r>
        <w:br/>
      </w:r>
      <w:r>
        <w:br/>
        <w:t>A) Przy realizacji inwestycji zalecane jest wykorzystanie dobrych praktyk w zakresie ochrony środowiska, w szczególności standardów ochrony drzew [Standardy Ochrony Drzew - Narodowy Fundusz Ochrony Środowiska i Gospodarki Wodnej -</w:t>
      </w:r>
      <w:r w:rsidR="002D509E">
        <w:t xml:space="preserve"> </w:t>
      </w:r>
      <w:r>
        <w:t>https://www.gov.pl/web/nfosigw/standardy-ochrony-drzew, http://drzewa.org.pl/standardy].</w:t>
      </w:r>
      <w:r>
        <w:br/>
      </w:r>
      <w:r>
        <w:br/>
        <w:t>B) Premiowane będą projekty, które mają istotny wkład w realizację jednego z sześciu celów środowiskowych określanych w rozporządzeniu (UE) 2020/852.</w:t>
      </w:r>
      <w:r>
        <w:br/>
      </w:r>
      <w:r>
        <w:br/>
        <w:t xml:space="preserve">C) Preferowana będzie realizacja zielonych zamówień publicznych w oparciu o opracowane przez KE wspólne kryteria możliwe do stosowania w państwach członkowskich Unii. </w:t>
      </w:r>
      <w:r>
        <w:br/>
      </w:r>
      <w:r>
        <w:br/>
        <w:t>D) W projektach, w których będzie to zasadne i możliwe zostaną zastosowane rozwiązania w zakresie obiegu cyrkularnego (w tym efektywności energetycznej i użycia energii ze źródeł odnawialnych) jak również elementy sprzyjające adaptacji do zmian klimatu. W szczególności, tam gdzie jest to technicznie możliwe, realizowane projekty w zakresie infrastruktury drogowej będą obejmowały zapewnienie retencji i podczyszczania wód opadowych poprzez wykorzystanie zielonej i niebieskiej infrastruktury.</w:t>
      </w:r>
      <w:r>
        <w:br/>
      </w:r>
      <w:r>
        <w:br/>
        <w:t>E) Możliwa będzie realizacja przedsięwzięć z partnerami mającymi siedzibę poza województwem śląskim. Przewiduje się, że działania związane z wsparciem infrastruktury transportowej będą komplementarne do działań przewidzianych w programach Interreg Europa oraz Europa Środkowa związanych z zieloną inteligentną mobilnością szczególnie w zakresie czerpania dobrych praktyk wynikających z projektów realizowanych z ww. programów. Ponadto wspierane będą komplementarne działania związane z infrastrukturą drogową finansowaną ze środków programów Interreg Czechy–Polska oraz Słowacja–Polska.</w:t>
      </w:r>
      <w:r>
        <w:br/>
      </w:r>
    </w:p>
    <w:p w14:paraId="02C521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1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1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21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1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1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1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1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1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1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1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1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1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1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1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1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21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1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1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1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21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1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w:t>
      </w:r>
    </w:p>
    <w:p w14:paraId="02C521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1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drogi, drogi_gminne, drogi_powiatowe, obwodnice</w:t>
      </w:r>
    </w:p>
    <w:p w14:paraId="02C521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1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WLWK-PLRO107 - Długość wybudowanych dróg gminnych</w:t>
      </w:r>
    </w:p>
    <w:p w14:paraId="02C521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WLWK-PLRO106 - Długość wybudowanych dróg powiatowych</w:t>
      </w:r>
    </w:p>
    <w:p w14:paraId="02C521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WLWK-PLRO111 - Długość zmodernizowanych lub przebudowanych dróg gminnych</w:t>
      </w:r>
    </w:p>
    <w:p w14:paraId="02C521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WLWK-PLRO110 - Długość zmodernizowanych lub przebudowanych dróg powiatowych</w:t>
      </w:r>
    </w:p>
    <w:p w14:paraId="02C521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WLWK-PLRO132 - Liczba obiektów dostosowanych do potrzeb osób z niepełnosprawnościami (EFRR/FST/FS)</w:t>
      </w:r>
    </w:p>
    <w:p w14:paraId="02C521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21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WLWK-PLRO120 - Liczba wybudowanych obwodnic</w:t>
      </w:r>
    </w:p>
    <w:p w14:paraId="02C521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PROG-FESLO-13 - Liczba obiektów poprawiających bezpieczeństwo użytkowników drogi</w:t>
      </w:r>
    </w:p>
    <w:p w14:paraId="02C521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PROG-FESLO-31 - Liczba wspartych drogowych obiektów inżynierskich</w:t>
      </w:r>
    </w:p>
    <w:p w14:paraId="02C521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1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21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WLWK-RCR056 - Oszczędność czasu dzięki udoskonalonej infrastrukturze drogowej</w:t>
      </w:r>
    </w:p>
    <w:p w14:paraId="02C521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WLWK-RCR055 - Roczna liczba użytkowników nowo wybudowanych, przebudowanych, rozbudowanych lub zmodernizowanych dróg</w:t>
      </w:r>
    </w:p>
    <w:p w14:paraId="02C521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1AB"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30" w:name="_Toc235079868"/>
      <w:r>
        <w:rPr>
          <w:rFonts w:ascii="Calibri" w:hAnsi="Calibri" w:cs="Calibri"/>
          <w:sz w:val="32"/>
        </w:rPr>
        <w:t>Działanie FESL.14.02 Inwestycje chroniące przed powodzią</w:t>
      </w:r>
      <w:bookmarkEnd w:id="130"/>
    </w:p>
    <w:p w14:paraId="02C521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1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EFRR/FS.CP2.X - Wspieranie inwestycji mających na celu odbudowę w odpowiedzi na klęskę żywiołową, która występuje między dniem 1 stycznia 2024 r. a dniem 31 grudnia 2025 r.</w:t>
      </w:r>
    </w:p>
    <w:p w14:paraId="02C521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1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42 000 000,00</w:t>
      </w:r>
    </w:p>
    <w:p w14:paraId="02C521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1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42 000 000,00</w:t>
      </w:r>
    </w:p>
    <w:p w14:paraId="02C521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1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w:t>
      </w:r>
    </w:p>
    <w:p w14:paraId="02C521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1B5" w14:textId="176AF3A5"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r>
      <w:r>
        <w:br/>
        <w:t>1.</w:t>
      </w:r>
      <w:r>
        <w:tab/>
        <w:t>Infrastruktura hydrotechniczna (przeciwpowodziowa)</w:t>
      </w:r>
      <w:r>
        <w:br/>
      </w:r>
      <w:r>
        <w:br/>
        <w:t xml:space="preserve">Wsparciem objęta zostanie infrastruktura hydrotechniczna, która uległa zniszczeniu lub uszkodzeniu </w:t>
      </w:r>
      <w:r>
        <w:lastRenderedPageBreak/>
        <w:t>bezpośrednio na skutek powodzi z września 2024 r., a także infrastruktura z nią powiązana (stanowiąca część zespołu urządzeń). Ze względu na niekonkurencyjny sposób wdrażania działania, wsparciem będą objęte przedsięwzięcia wskazane w Kontrakcie Programowym, realizowane wyłącznie na terenie gmin z powiatów, które zostały objęte stanem klęski żywiołowej, zgodnie z Rozporządzeniem Rady Ministrów z dnia 16 września 2024 r. w sprawie wprowadzenia stanu klęski żywiołowej na obszarze części województwa dolnośląskiego, opolskiego oraz śląskiego.</w:t>
      </w:r>
      <w:r>
        <w:br/>
        <w:t>Zakresem projektu może zostać objęta infrastruktura powiązana ze zniszczoną/ uszkodzoną lub stanowiąca część zespołu urządzeń, którego wsparcie jest niezbędne z punktu widzenia funkcjonowania tej infrastruktury i budowania jej odporności. Wsparcie uzyskają także inwestycje z zakresu budowy, przebudowy lub remontu urządzeń wodnych i infrastruktury hydrotechnicznej mających szczególne znaczenie z punktu widzenia skutecznego zarządzania, przeciwdziałania i ograniczania skutków powodzi (np.: kanały, rowy, wały przeciwpowodziowe, suche zbiorniki – poldery), Dopuszcza się realizację samodzielnych inwestycji w zakresie systemów zbierania wody opadowej, w tym zlewni</w:t>
      </w:r>
      <w:r w:rsidR="002D509E">
        <w:t xml:space="preserve"> </w:t>
      </w:r>
      <w:r>
        <w:t>wód opadowych i zbiorników retencyjnych. Nie będą finansowane inwestycje służące innym celom (rekreacja, turystyka) oraz inwestycje powodujące zastosowanie art. 4.7. RDW.</w:t>
      </w:r>
      <w:r>
        <w:br/>
        <w:t>Możliwe będzie poniesienie wydatków na podniesienie poziomu cyberbezpieczeństwa, zgodnie ze standardami wyznaczonymi w ramach krajowego systemu cyberbezpieczeństwa, bez powielania funkcji inwestycji prowadzonych z poziomu krajowego.</w:t>
      </w:r>
      <w:r>
        <w:br/>
        <w:t xml:space="preserve">Możliwa będzie realizacja zielonych zamówień publicznych w oparciu o opracowane przez KE wspólne kryteria możliwe do stosowania w państwach członkowskich Unii. </w:t>
      </w:r>
      <w:r>
        <w:br/>
      </w:r>
      <w:r>
        <w:br/>
        <w:t>Obligatoryjne warunki wsparcia</w:t>
      </w:r>
      <w:r>
        <w:br/>
      </w:r>
      <w:r>
        <w:br/>
        <w:t>Dofinansowanie może obejmować wyłącznie inwestycje lub części inwestycji, które nie zostały sfinansowane z innych źródeł publicznych i prywatnych, w tym z wypłaconego ubezpieczenia.</w:t>
      </w:r>
      <w:r>
        <w:br/>
      </w:r>
      <w:r>
        <w:br/>
        <w:t>Wykluczone ze wsparcia będą projekty powodujące zastosowanie art.4.7 Ramowej Dyrektywy Wodnej.</w:t>
      </w:r>
      <w:r>
        <w:br/>
      </w:r>
      <w:r>
        <w:br/>
        <w:t>Nie będą finansowane inwestycje służące innym celom (np. rekreacja, turystyka).</w:t>
      </w:r>
      <w:r>
        <w:br/>
      </w:r>
      <w:r>
        <w:br/>
        <w:t xml:space="preserve">Projekty realizowane w ramach działania będą musiały być zgodne z Dyrektywą Rady 92/43/EWG w sprawie ochrony siedlisk przyrodniczych oraz dzikiej fauny i flory, a także Dyrektywą Parlamentu Europejskiego i Rady 2009/147/WE w sprawie ochrony dzikiego ptactwa. </w:t>
      </w:r>
      <w:r>
        <w:br/>
      </w:r>
      <w:r>
        <w:br/>
        <w:t xml:space="preserve">Wspierane inwestycje nie mogą powodować nieosiągnięcia dobrego stanu lub potencjału jednolitych części wód, nie mogą też pogarszać stanu lub potencjału jednolitych części wód oraz nie mogą mieć znaczącego wpływu na cele ochrony obszarów objętych siecią Natura 2000, chyba że zachodzą przesłanki do odstępstw przewidzianych w Dyrektywie Siedliskowej. </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lastRenderedPageBreak/>
        <w:t xml:space="preserve"> </w:t>
      </w:r>
      <w:r>
        <w:b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r>
        <w:br/>
      </w:r>
      <w:r>
        <w:br/>
        <w:t>Przy realizacji inwestycji należy wykorzystać</w:t>
      </w:r>
      <w:r w:rsidR="002D509E">
        <w:t xml:space="preserve"> </w:t>
      </w:r>
      <w:r>
        <w:t>dobre praktyki w zakresie ochrony środowiska, w szczególności standardów ochrony drzew [Standardy Ochrony Drzew - Narodowy Fundusz Ochrony Środowiska i Gospodarki Wodnej -</w:t>
      </w:r>
      <w:r w:rsidR="002D509E">
        <w:t xml:space="preserve"> </w:t>
      </w:r>
      <w:r>
        <w:t>https://www.gov.pl/web/nfosigw/standardy-ochrony-drzew, http://drzewa.org.pl/standardy] (jeśli dotyczy).</w:t>
      </w:r>
      <w:r>
        <w:br/>
      </w:r>
      <w:r>
        <w:br/>
        <w:t>Projekty muszą mieć istotny wkład w realizację co najmniej jednego z sześciu celów środowiskowych określanych w rozporządzeniu (UE) 2020/852.</w:t>
      </w:r>
    </w:p>
    <w:p w14:paraId="02C521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1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1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1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1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1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1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1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1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1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1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1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1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1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1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1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21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Realizacja instrumentów terytorialnych</w:t>
      </w:r>
    </w:p>
    <w:p w14:paraId="02C521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1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1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realizujące cele publiczne, Służby publiczne</w:t>
      </w:r>
    </w:p>
    <w:p w14:paraId="02C521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1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odpowiedzialne za gospodarkę wodną, Jednostki organizacyjne działające w imieniu jednostek samorządu terytorialnego, Jednostki Samorządu Terytorialnego, Spółki wodne</w:t>
      </w:r>
    </w:p>
    <w:p w14:paraId="02C521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1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budowle_przeciwpowodziowe, klęski_żywiołowe, mała_retencja, poldery_przeciwpowodziowe, powódź, retencja, wał_przeciwpowodziowy, zabezpieczenia_przeciwzalewowe</w:t>
      </w:r>
    </w:p>
    <w:p w14:paraId="02C521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21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Średnie</w:t>
      </w:r>
    </w:p>
    <w:p w14:paraId="02C521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1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https://kryteria_funduszeue.slaskie.pl/</w:t>
      </w:r>
    </w:p>
    <w:p w14:paraId="02C521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1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WLWK-PLRO167 - Liczba wybudowanych, przebudowanych i wyremontowanych urządzeń wodnych (w tym obiektów kompleksowych)</w:t>
      </w:r>
    </w:p>
    <w:p w14:paraId="02C521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WLWK-PLRO169 - Liczba zlikwidowanych urządzeń wodnych (w tym obiektów kompleksowych)</w:t>
      </w:r>
    </w:p>
    <w:p w14:paraId="02C521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WLWK-PLRO043 - Pojemność obiektów dużej retencji</w:t>
      </w:r>
    </w:p>
    <w:p w14:paraId="02C521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WLWK-PLRO044 - Pojemność obiektów małej retencji</w:t>
      </w:r>
    </w:p>
    <w:p w14:paraId="02C521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WLWK-PLRO166 - Powierzchnia obszaru zagrożonego powodzią lub katastrofą urządzenia wodnego, która zostanie objęta ochroną w wyniku realizacji inwestycji</w:t>
      </w:r>
    </w:p>
    <w:p w14:paraId="02C521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WLWK-PLRO168 - Powierzchnia odtworzonych obszarów zalewowych</w:t>
      </w:r>
    </w:p>
    <w:p w14:paraId="02C521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1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21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WLWK-RCR035 - Ludność odnosząca korzyści ze środków ochrony przeciwpowodziowej</w:t>
      </w:r>
    </w:p>
    <w:p w14:paraId="02C521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1DD"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31" w:name="_Toc235079869"/>
      <w:r>
        <w:rPr>
          <w:rFonts w:ascii="Calibri" w:hAnsi="Calibri" w:cs="Calibri"/>
          <w:sz w:val="32"/>
        </w:rPr>
        <w:t>Działanie FESL.14.03 Wzmocnienie potencjału służb ratowniczych na terenach powodziowych</w:t>
      </w:r>
      <w:bookmarkEnd w:id="131"/>
    </w:p>
    <w:p w14:paraId="02C521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1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EFRR/FS.CP2.X - Wspieranie inwestycji mających na celu odbudowę w odpowiedzi na klęskę żywiołową, która występuje między dniem 1 stycznia 2024 r. a dniem 31 grudnia 2025 r.</w:t>
      </w:r>
    </w:p>
    <w:p w14:paraId="02C521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1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15 000 000,00</w:t>
      </w:r>
    </w:p>
    <w:p w14:paraId="02C521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1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15 000 000,00</w:t>
      </w:r>
    </w:p>
    <w:p w14:paraId="02C521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1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059 - Działania w zakresie przystosowania się do zmian klimatu oraz zapobieganie ryzykom związanym z klimatem i zarządzanie nimi: pożary (w tym zwiększanie świadomości, ochrona ludności i systemy zarządzania klęskami żywiołowymi i katastrofami, infrastruktura i podejście ekosystemowe)</w:t>
      </w:r>
    </w:p>
    <w:p w14:paraId="02C521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1E7" w14:textId="5AC5B650"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r>
      <w:r>
        <w:br/>
        <w:t>1.</w:t>
      </w:r>
      <w:r>
        <w:tab/>
        <w:t>Wsparcie służb ratowniczych</w:t>
      </w:r>
      <w:r>
        <w:br/>
      </w:r>
      <w:r>
        <w:br/>
        <w:t xml:space="preserve">Wsparciem objęte będą inwestycje w zakresie doposażenia w sprzęt niezbędny do skutecznego prowadzenia akcji ratowniczych lub usuwania skutków zjawisk katastrofalnych (w tym pojazdy, jednostki pływające, drony itp.). Wsparcie to dotyczyć będzie służb ratowniczych (OSP, WOPR, GOPR). Możliwe będzie dofinansowanie infrastruktury na potrzeby tych służb głównie w zakresie odbudowy infrastruktury zniszczonej w wyniku klęski żywiołowej, natomiast tylko w uzasadnionych przypadkach możliwa będzie budowa, przebudowa, rozbudowa oraz adaptacja infrastruktury która będzie służyć budowaniu odporności służb ratunkowych na klęski żywiołowe. Uzupełniająco w ramach projektu mogą być realizowane szkolenia dla służb ratowniczych w zakresie niezbędnym dla niesienia pomocy społeczeństwu. </w:t>
      </w:r>
      <w:r>
        <w:br/>
        <w:t>W ramach interwencji o wsparcie ubiegać się mogą jednostki Ochotniczej Straży Pożarnej funkcjonujące w ramach KSRG (dopuszcza się również możliwość wsparcia OSP, które w wyniku uzyskania wsparcia interwencji z programu będą mogły ubiegać się o włączenie do KSRG) oraz inne jednostki współpracujące w ramach systemu np. GOPR, WOPR.</w:t>
      </w:r>
      <w:r>
        <w:br/>
        <w:t>Możliwe będzie poniesienie wydatków na podniesienie poziomu cyberbezpieczeństwa, zgodnie ze standardami wyznaczonymi w ramach krajowego systemu cyberbezpieczeństwa, bez powielania funkcji inwestycji prowadzonych z poziomu krajowego.</w:t>
      </w:r>
      <w:r>
        <w:br/>
      </w:r>
      <w:r>
        <w:br/>
        <w:t>Obligatoryjne warunki wsparcia</w:t>
      </w:r>
      <w:r>
        <w:br/>
      </w:r>
      <w:r>
        <w:br/>
        <w:t xml:space="preserve">Wsparcie w ramach niniejszego działania kierowane będzie wyłącznie do podmiotów określonych w katalogu beneficjentów z terenu gmin, które zostały objęte stanem klęski żywiołowej zgodnie z Rozporządzeniem Rady Ministrów z dnia 16 września 2024 r. w sprawie wprowadzenia stanu klęski </w:t>
      </w:r>
      <w:r>
        <w:lastRenderedPageBreak/>
        <w:t>żywiołowej na obszarze części województwa dolnośląskiego, opolskiego oraz śląskiego. Gminy objęte wsparciem:</w:t>
      </w:r>
      <w:r>
        <w:br/>
        <w:t>•</w:t>
      </w:r>
      <w:r>
        <w:tab/>
        <w:t>powiat bielski: Szczyrk, Bestwina, Buczkowice, Czechowice-Dziedzice,</w:t>
      </w:r>
      <w:r>
        <w:br/>
        <w:t>Jasienica, Jaworze, Kozy, Porąbka, Wilamowice, Wilkowice,</w:t>
      </w:r>
      <w:r>
        <w:br/>
        <w:t>•</w:t>
      </w:r>
      <w:r>
        <w:tab/>
        <w:t>powiat cieszyński: Cieszyn, Ustroń, Wisła, Brenna, Chybie, Dębowiec,</w:t>
      </w:r>
      <w:r>
        <w:br/>
        <w:t>Goleszów, Hażlach, Istebna, Skoczów, Strumień, Zebrzydowice</w:t>
      </w:r>
      <w:r>
        <w:br/>
        <w:t>•</w:t>
      </w:r>
      <w:r>
        <w:tab/>
        <w:t>powiat pszczyński: Goczałkowice-Zdrój, Kobiór, Miedźna, Pawłowice,</w:t>
      </w:r>
      <w:r>
        <w:br/>
        <w:t>Pszczyna, Suszec,</w:t>
      </w:r>
      <w:r>
        <w:br/>
        <w:t>•</w:t>
      </w:r>
      <w:r>
        <w:tab/>
        <w:t>powiat raciborski: Racibórz, Kornowac, Krzanowice, Krzyżanowice, Kuźnia Raciborska, Nędza, Pietrowice Wielkie, Rudnik,</w:t>
      </w:r>
      <w:r>
        <w:br/>
        <w:t>•</w:t>
      </w:r>
      <w:r>
        <w:tab/>
        <w:t>miasto na prawach powiatu Bielsko-Biała</w:t>
      </w:r>
      <w:r>
        <w:br/>
      </w:r>
      <w:r>
        <w:br/>
        <w:t>Dofinansowanie może obejmować wyłącznie inwestycje lub części inwestycji, które nie zostały sfinansowane z innych źródeł publicznych i prywatnych, w tym z wypłaconego ubezpieczenia.</w:t>
      </w:r>
      <w:r>
        <w:br/>
      </w:r>
      <w:r>
        <w:br/>
        <w:t>W ramach interwencji o wsparcie ubiegać się mogą jednostki Ochotniczej Straży Pożarnej funkcjonujące w ramach KSRG (dopuszcza się również możliwość wsparcia OSP, które w wyniku uzyskania wsparcia interwencji z programu będą mogły ubiegać się o włączenie do KSRG) oraz inne jednostki współpracujące w ramach systemu np. GOPR, WOPR.</w:t>
      </w:r>
      <w:r>
        <w:br/>
      </w:r>
      <w:r>
        <w:br/>
        <w:t xml:space="preserve">Działanie będzie realizowane z uwzględnieniem zasad horyzontalnych (zgodnie z art. 9 Rozporządzenia Parlamentu Europejskiego i Rady (UE) nr 2021/1060 z dnia 24 czerwca 2021 r.), a obowiązek ich stosowania wynika z Umowy Partnerstwa, programu oraz wytycznych. </w:t>
      </w:r>
      <w:r>
        <w:br/>
      </w:r>
      <w:r>
        <w:b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r>
        <w:br/>
      </w:r>
      <w:r>
        <w:br/>
        <w:t>Preferowane warunki wsparcia</w:t>
      </w:r>
      <w:r>
        <w:br/>
      </w:r>
      <w:r>
        <w:br/>
        <w:t>Przy realizacji inwestycji, zalecane jest wykorzystanie dobrych praktyk w zakresie ochrony środowiska, w szczególności standardów ochrony drzew [Standardy Ochrony Drzew - Narodowy Fundusz Ochrony Środowiska i Gospodarki Wodnej -</w:t>
      </w:r>
      <w:r w:rsidR="002D509E">
        <w:t xml:space="preserve"> </w:t>
      </w:r>
      <w:r>
        <w:t>https://www.gov.pl/web/nfosigw/standardy-ochrony-drzew, http://drzewa.org.pl/standardy](jeśli dotyczy).</w:t>
      </w:r>
      <w:r>
        <w:br/>
      </w:r>
      <w:r>
        <w:br/>
        <w:t>Premiowane będą projekty, które mają istotny wkład w realizację jednego z sześciu celów środowiskowych określanych w rozporządzeniu (UE) 2020/852.</w:t>
      </w:r>
      <w:r>
        <w:br/>
      </w:r>
      <w:r>
        <w:br/>
        <w:t xml:space="preserve">Preferowana będzie realizacja zielonych zamówień publicznych w oparciu o opracowane przez KE </w:t>
      </w:r>
      <w:r>
        <w:lastRenderedPageBreak/>
        <w:t>wspólne kryteria możliwe do stosowania w państwach członkowskich Unii.</w:t>
      </w:r>
      <w:r>
        <w:br/>
        <w:t xml:space="preserve"> </w:t>
      </w:r>
      <w:r>
        <w:br/>
        <w:t>Możliwe jest wsparcie lub preferencje w obszarze wzmocnienia potencjału służb ratowniczych dla przedsięwzięć odpowiadających potrzebom lokalnym w uzgodnieniu z Lokalnymi Grupami Działania. Weryfikacja zgodności projektu z celami strategii rozwoju lokalnego kierowanego przez społeczność (LSR) nastąpi na podstawie potwierdzenia wystawionego przez Lokalną Grupę Działania. Wsparcie oferowane będzie dla projektów realizowanych na obszarze ww. strategii realizowanej w ramach umowy o warunkach i sposobie realizacji strategii rozwoju lokalnego kierowanego przez społeczność lokalną zawartej z Zarządem Województwa Śląskiego.</w:t>
      </w:r>
      <w:r>
        <w:br/>
      </w:r>
      <w:r>
        <w:br/>
      </w:r>
    </w:p>
    <w:p w14:paraId="02C521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1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1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1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1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1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1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1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1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1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1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1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1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1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1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1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21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1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1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Typ beneficjenta – ogólny</w:t>
      </w:r>
    </w:p>
    <w:p w14:paraId="02C521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02C521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1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Lokalne Grupy Działania, Organizacje pozarządowe, Podmioty świadczące usługi publiczne w ramach realizacji obowiązków własnych jednostek samorządu terytorialnego, Policja, straż pożarna i służby ratownicze</w:t>
      </w:r>
    </w:p>
    <w:p w14:paraId="02C521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1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jednostka_ratownicza, klęski_żywiołowe, ratownictwo, straż_pożarna, strażacy</w:t>
      </w:r>
    </w:p>
    <w:p w14:paraId="02C522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2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https://kryteria_funduszeue.slaskie.pl/</w:t>
      </w:r>
    </w:p>
    <w:p w14:paraId="02C522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2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WLWK-PLRO041 - Liczba jednostek służb ratowniczych doposażonych w sprzęt do prowadzenia akcji ratowniczych i usuwania skutków katastrof</w:t>
      </w:r>
    </w:p>
    <w:p w14:paraId="02C522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WLWK-PLRO042 - Liczba zakupionych wozów pożarniczych wyposażonych w sprzęt do prowadzenia akcji ratowniczych i usuwania skutków katastrof</w:t>
      </w:r>
    </w:p>
    <w:p w14:paraId="02C522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2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02C522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WLWK-RCR035 - Ludność odnosząca korzyści ze środków ochrony przeciwpowodziowej</w:t>
      </w:r>
    </w:p>
    <w:p w14:paraId="02C522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2209"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32" w:name="_Toc235079870"/>
      <w:r>
        <w:rPr>
          <w:rFonts w:ascii="Calibri" w:hAnsi="Calibri" w:cs="Calibri"/>
          <w:i w:val="0"/>
          <w:sz w:val="32"/>
        </w:rPr>
        <w:t>Priorytet FESL.15 Fundusze Europejskie na zwiększenie potencjału przemysłu obronnego</w:t>
      </w:r>
      <w:bookmarkEnd w:id="132"/>
    </w:p>
    <w:p w14:paraId="02C522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22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22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22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02C522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22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CP1 - Bardziej konkurencyjna i inteligentna Europa dzięki wspieraniu innowacyjnej i inteligentnej transformacji gospodarczej oraz regionalnej łączności cyfrowej</w:t>
      </w:r>
    </w:p>
    <w:p w14:paraId="02C522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22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ŚLĄSKIE</w:t>
      </w:r>
    </w:p>
    <w:p w14:paraId="02C522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22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15 000 000,00</w:t>
      </w:r>
    </w:p>
    <w:p w14:paraId="02C522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22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15 000 000,00</w:t>
      </w:r>
    </w:p>
    <w:p w14:paraId="02C522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22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2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22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22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22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2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21D"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33" w:name="_Toc235079871"/>
      <w:r>
        <w:rPr>
          <w:rFonts w:ascii="Calibri" w:hAnsi="Calibri" w:cs="Calibri"/>
          <w:sz w:val="32"/>
        </w:rPr>
        <w:t>Działanie FESL.15.01 Zwiększenie potencjału przemysłu obronnego - przedsiębiorstwa dostarczające usługi i produkty dla sił zbrojnych</w:t>
      </w:r>
      <w:bookmarkEnd w:id="133"/>
    </w:p>
    <w:p w14:paraId="02C522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2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EFRR.CP1.VII - Zwiększanie zdolności przemysłowych w celu wspierania zdolności obronnych, przy priorytetowym traktowaniu zdolności w zakresie technologii podwójnego zastosowania</w:t>
      </w:r>
    </w:p>
    <w:p w14:paraId="02C522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22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 Centrum Przedsiębiorczości</w:t>
      </w:r>
    </w:p>
    <w:p w14:paraId="02C522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2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02C522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2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02C522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2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172 - Finansowanie krzyżowe w ramach EFRR (wsparcie dla działań typowych dla EFS+ koniecznych do wdrożenia części operacji objętej EFRR i bezpośrednio z nią związanych), 194 - Inwestycje produkcyjne w duże przedsiębiorstwa związane z obronnością i technologiami podwójnego zastosowania</w:t>
      </w:r>
    </w:p>
    <w:p w14:paraId="02C522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2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 xml:space="preserve">Wsparcie w ramach działania obejmuje inwestycje produkcyjne dużych przedsiębiorstw prowadzące do zwiększenia zdolności przemysłowych istotnych dla obronności lub bezpieczeństwa, w szczególności poprzez rozwój lub zwiększenie mocy produkcyjnych. W wyniku realizacji inwestycji powstawać mogą produkty podwójnego zastosowania. Oznacza to, że w ramach działania wsparcie skierowane zostanie na rozwój np. technologii i procesów dotyczących produkcji amunicji, pocisków, pojazdów bojowych, systemów artyleryjskich, wyposażenia żołnierzy, dronów i systemów przeciwdronowych, systemów obrony powietrznej i przeciwrakietowej, sztucznej inteligencji i walki elektronicznej. </w:t>
      </w:r>
      <w:r>
        <w:br/>
        <w:t>Przez produkty podwójnego zastosowania rozumie się produkty, w tym oprogramowanie i technologie, które mogą być stosowane zarówno w celach wojskowych jak i w celach cywilnych, produkty te mogą być wykorzystane do projektowania, rozwijania, produkcji lub stosowania broni, środków jej przenoszenia bądź też jej zwalczania oraz wyposażenia żołnierzy.</w:t>
      </w:r>
      <w:r>
        <w:br/>
        <w:t xml:space="preserve">W ramach działania wspierane będą inwestycje prowadzące do zwiększenia potencjału sektora produkcyjnego istotnego dla obronności co oznacza, że wsparcie mogą uzyskać wyłącznie podmioty świadczące usługi i dostarczające produkty dla sił zbrojnych. </w:t>
      </w:r>
      <w:r>
        <w:br/>
        <w:t>Ponadto wsparcie mogą uzyskać projekty prowadzące do rozwoju cyberbezpieczeństwa przedsiębiorstw dostarczających usługi i produkty dla sił zbrojnych.</w:t>
      </w:r>
      <w:r>
        <w:br/>
      </w:r>
      <w:r>
        <w:br/>
        <w:t>W ramach działania nie podlegają wsparciu inwestycje o charakterze ogólnoprzemysłowym, których związek z obronnością lub z produktami podwójnego zastosowania ma charakter wyłącznie deklaratywny, bez wykazania realnego zastosowania w obszarze objętym celem działania.</w:t>
      </w:r>
      <w:r>
        <w:br/>
      </w:r>
      <w:r>
        <w:br/>
        <w:t>O wsparcie mogą się ubiegać wyłącznie przedsiębiorstwa ujęte w KRS w rejestrze przedsiębiorców.</w:t>
      </w:r>
      <w:r>
        <w:br/>
      </w:r>
      <w:r>
        <w:br/>
        <w:t>Wspierane będą projekty prowadzące do:</w:t>
      </w:r>
      <w:r>
        <w:br/>
        <w:t xml:space="preserve">wprowadzenia nowych produktów/usług lub </w:t>
      </w:r>
      <w:r>
        <w:br/>
        <w:t>prowadzące do zmiany sposobu produkcji/świadczenia usług lub</w:t>
      </w:r>
      <w:r>
        <w:br/>
        <w:t xml:space="preserve">zwiększenia potencjału produkcyjnego/świadczenia usług lub </w:t>
      </w:r>
      <w:r>
        <w:br/>
        <w:t>utworzenia nowego zakładu produkcyjnego.</w:t>
      </w:r>
      <w:r>
        <w:br/>
        <w:t>(Zgodnie z definicjami wskazanymi w Rozporządzeniu Komisji (UE) nr 651/2014 z dnia 17 czerwca 2014 r. uznającym niektóre rodzaje pomocy za zgodne z rynkiem wewnętrznym w zastosowaniu art. 107 i 108 Traktatu)</w:t>
      </w:r>
      <w:r>
        <w:br/>
      </w:r>
      <w:r>
        <w:br/>
        <w:t xml:space="preserve">Wsparcie dotyczyć będzie w szczególności nabycia materiałów i robót budowlanych, środków trwałych, wartości niematerialnych i prawnych a także szkoleń związanych z realizowanym typem inwestycji początkowej, jako podnoszenie kompetencji osób zatrudnionych w przedsiębiorstwach. </w:t>
      </w:r>
      <w:r>
        <w:br/>
      </w:r>
      <w:r>
        <w:br/>
        <w:t>Projekt musi być realizowany na terenie województwa śląskiego. Weryfikacja dokonywana będzie na podstawie wpisu do KRS lub na podstawie NIP-8 na dzień podpisania umowy o dofinansowanie.</w:t>
      </w:r>
      <w:r>
        <w:br/>
      </w:r>
      <w:r>
        <w:br/>
        <w:t xml:space="preserve">Przedsiębiorstwo ma obowiązek zastosowania zasady n+2 w odniesieniu do okresu realizacji projektu. </w:t>
      </w:r>
      <w:r>
        <w:lastRenderedPageBreak/>
        <w:t>Oznacza to, że od chwili podpisania umowy o dofinansowanie Beneficjent musi zrealizować projekt ujęty we wniosku o dofinansowanie w ciągu dwóch lat. W szczególnych przypadkach Instytucja Pośrednicząca może wyrazić zgodę na wydłużenie terminu dotyczącego zasady n+2 z uwzględnieniem możliwego maksymalnego terminu ponoszenia wydatków kwalifikowanych.</w:t>
      </w:r>
      <w:r>
        <w:br/>
      </w:r>
      <w:r>
        <w:br/>
        <w:t>Beneficjent jako duże przedsiębiorstwo, wsparty w ramach FE SL 2021-2027 zobowiązany jest do realizacji i utrzymania projektu na terenie województwa śląskiego przez cały okres realizacji i trwałości. Okres trwałości dla podmiotów wnioskujących o dofinansowanie w ramach działania wynosi 5 lat.</w:t>
      </w:r>
      <w:r>
        <w:br/>
      </w:r>
      <w:r>
        <w:br/>
        <w:t>W ramach działania nie przewidziano wsparcia dla projektów realizowanych w ramach partnerstwa.</w:t>
      </w:r>
      <w:r>
        <w:br/>
        <w:t xml:space="preserve"> </w:t>
      </w:r>
      <w:r>
        <w:br/>
        <w:t>W ramach działania wsparcie nie będzie udzielane na inwestycję w infrastrukturę szerokopasmową.</w:t>
      </w:r>
      <w:r>
        <w:br/>
        <w:t xml:space="preserve"> </w:t>
      </w:r>
      <w:r>
        <w:br/>
        <w:t>Działanie będzie realizowane z uwzględnieniem zasad horyzontalnych (zgodnie z art. 9 Rozporządzenia Parlamentu Europejskiego i Rady (UE) nr 2021/1060 z dnia 24 czerwca 2021 r.), a obowiązek ich stosowania wynika z Umowy Partnerstwa, programu oraz wytycznych.</w:t>
      </w:r>
      <w:r>
        <w:br/>
      </w:r>
      <w:r>
        <w:br/>
        <w:t>We wszystkich projektach, w których będzie to zasadne i możliwe zostaną zastosowane rozwiązania w zakresie obiegu cyrkularnego (w tym efektywności energetycznej, magazynowania energii a także wykorzystania energii ze źródeł odnawialnych), jak również elementy sprzyjające adaptacji do zmian klimatu (w szczególności zielona i niebieska infrastruktura).</w:t>
      </w:r>
    </w:p>
    <w:p w14:paraId="02C522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2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2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2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2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2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22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2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t>
      </w:r>
      <w:r>
        <w:lastRenderedPageBreak/>
        <w:t>w sprawie udzielania pomocy de minimis w ramach regionalnych programów na lata 2021–2027 (Dz.U. 2024 poz. 598), Rozporządzenie Ministra Funduszy i Polityki Regionalnej z dnia 28 lipca 2023 r. w sprawie udzielania pomocy szkoleniowej w zakresie celu polityki CP1 oraz celu szczegółowego Funduszu na rzecz Sprawiedliwej Transformacji w ramach regionalnych programów na lata 2021–2027 (Dz.U. 2023 poz. 1649)</w:t>
      </w:r>
    </w:p>
    <w:p w14:paraId="02C522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2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2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2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2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2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2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2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22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2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2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2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Przedsiębiorstwa</w:t>
      </w:r>
    </w:p>
    <w:p w14:paraId="02C522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2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w:t>
      </w:r>
    </w:p>
    <w:p w14:paraId="02C522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2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bezpieczeństwo, cyberbezpieczeństwo, dual-use, technologie_podwójnego_zastosowania, zdolności_obronne</w:t>
      </w:r>
    </w:p>
    <w:p w14:paraId="02C522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22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02C522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2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https://kryteria_funduszeue.slaskie.pl/</w:t>
      </w:r>
    </w:p>
    <w:p w14:paraId="02C522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2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22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WLWK-PLRO014 - Liczba podmiotów wspartych w zakresie cyberbezpieczeństwa</w:t>
      </w:r>
    </w:p>
    <w:p w14:paraId="02C522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WLWK-PLRO199 - Liczba projektów, w których sfinansowano koszty racjonalnych usprawnień dla osób z niepełnosprawnościami (EFRR/FST/FS)</w:t>
      </w:r>
    </w:p>
    <w:p w14:paraId="02C522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02C522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02C522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WLWK-RCO128 - Przedsiębiorstwa objęte wsparciem, związane głównie ze wspieraniem zdolności w zakresie technologii podwójnego zastosowania i zdolności obronnych</w:t>
      </w:r>
    </w:p>
    <w:p w14:paraId="02C522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2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22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22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251"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34" w:name="_Toc235079872"/>
      <w:r>
        <w:rPr>
          <w:rFonts w:ascii="Calibri" w:hAnsi="Calibri" w:cs="Calibri"/>
          <w:sz w:val="32"/>
        </w:rPr>
        <w:t>Działanie FESL.15.02 Inwestycje w produkty podwójnego zastosowania - MŚP</w:t>
      </w:r>
      <w:bookmarkEnd w:id="134"/>
    </w:p>
    <w:p w14:paraId="02C522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2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EFRR.CP1.VII - Zwiększanie zdolności przemysłowych w celu wspierania zdolności obronnych, przy priorytetowym traktowaniu zdolności w zakresie technologii podwójnego zastosowania</w:t>
      </w:r>
    </w:p>
    <w:p w14:paraId="02C522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22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 Centrum Przedsiębiorczości</w:t>
      </w:r>
    </w:p>
    <w:p w14:paraId="02C522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2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5 000 000,00</w:t>
      </w:r>
    </w:p>
    <w:p w14:paraId="02C522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2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5 000 000,00</w:t>
      </w:r>
    </w:p>
    <w:p w14:paraId="02C522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2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172 - Finansowanie krzyżowe w ramach EFRR (wsparcie dla działań typowych dla EFS+ koniecznych do wdrożenia części operacji objętej EFRR i bezpośrednio z nią związanych), 195 - Inwestycje produkcyjne w MŚP związane z obronnością i technologiami podwójnego zastosowania</w:t>
      </w:r>
    </w:p>
    <w:p w14:paraId="02C522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25D" w14:textId="5ED2ADC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 w ramach</w:t>
      </w:r>
      <w:r w:rsidR="002D509E">
        <w:t xml:space="preserve"> </w:t>
      </w:r>
      <w:r>
        <w:t>działania obejmuje inwestycje produkcyjne w mikro, małych lub średnich przedsiębiorstwach prowadzące do zwiększenia zdolności przemysłowych istotnych dla obronności lub bezpieczeństwa, poprzez rozwój lub zwiększenie mocy produkcyjnych produktów podwójnego zastosowania. Oznacza to, że wsparcie zostanie skierowane do przedsiębiorstw z sektora MŚP na realizację inwestycji produkcyjnych związanych z obronnością i produktami podwójnego zastosowania.</w:t>
      </w:r>
      <w:r w:rsidR="002D509E">
        <w:t xml:space="preserve"> </w:t>
      </w:r>
      <w:r>
        <w:br/>
      </w:r>
      <w:r>
        <w:lastRenderedPageBreak/>
        <w:br/>
        <w:t xml:space="preserve">W ramach działania wsparcie skierowane zostanie na rozwój np.technologii i procesów dotyczących produkcji amunicji, pocisków, pojazdów bojowych, systemów artyleryjskich, wyposażenia żołnierzy, dronów i systemów przeciwdronowych, systemów obrony powietrznej i przeciwrakietowej, sztucznej inteligencji i walki elektronicznej. </w:t>
      </w:r>
      <w:r>
        <w:br/>
        <w:t>Przez produkty podwójnego zastosowania rozumie się produkty, w tym oprogramowanie i technologie, które mogą być stosowane zarówno w celach wojskowych jak i w celach cywilnych. Produkty te mogą być wykorzystane do projektowania, rozwijania, produkcji lub stosowania broni, środków jej przenoszenia bądź też jej zwalczania oraz wyposażenia żołnierzy.</w:t>
      </w:r>
      <w:r>
        <w:br/>
      </w:r>
      <w:r>
        <w:br/>
        <w:t>W ramach działania wspierane będą inwestycje prowadzące do zwiększenia potencjału sektora produkcyjnego istotnego dla obronności, co oznacza, że wsparcie mogą uzyskać wyłącznie podmioty świadczące usługi i dostarczające produkty dla sektora zbrojeniowego. Ponadto, wsparcie mogą uzyskać projekty prowadzące do rozwoju cyberbezpieczeństwa przedsiębiorstw dostarczających usługi i produkty dla sektora zbrojeniowego.</w:t>
      </w:r>
      <w:r>
        <w:br/>
      </w:r>
      <w:r>
        <w:br/>
        <w:t>W ramach działania nie podlegają wsparciu inwestycje o charakterze ogólnoprzemysłowym lub usługowym, których związek z obronnością lub z produktami podwójnego zastosowania ma charakter wyłącznie deklaratywny, bez wykazania realnego zastosowania w obszarze objętym celem działania.</w:t>
      </w:r>
      <w:r>
        <w:br/>
      </w:r>
      <w:r>
        <w:br/>
        <w:t>O wsparcie mogą się ubiegać wyłącznie przedsiębiorstwa ujęte w KRS w rejestrze przedsiębiorców lub w CEIDG.</w:t>
      </w:r>
      <w:r>
        <w:br/>
      </w:r>
      <w:r>
        <w:br/>
        <w:t>Minimalna wartość dofinansowania, o którą będą mogli ubiegać się Wnioskodawcy wynosi 500 000,00 PLN, a maksymalna nie może przekroczyć 2 000 000,00 PLN.</w:t>
      </w:r>
      <w:r>
        <w:br/>
      </w:r>
      <w:r>
        <w:br/>
        <w:t>Wspierane będą projekty prowadzące do:</w:t>
      </w:r>
      <w:r>
        <w:br/>
        <w:t xml:space="preserve">wprowadzenia nowych produktów/usług lub </w:t>
      </w:r>
      <w:r>
        <w:br/>
        <w:t xml:space="preserve">prowadzące do zmiany sposobu produkcji/świadczenia usług lub </w:t>
      </w:r>
      <w:r>
        <w:br/>
        <w:t>zwiększające potencjał produkcyjny/świadczenia usług.</w:t>
      </w:r>
      <w:r>
        <w:br/>
        <w:t>(Zgodnie z definicjami typów inwestycji początkowej wskazanymi w Rozporządzeniu Komisji (UE) nr 651/2014 z dnia 17 czerwca 2014 r. uznającym niektóre rodzaje pomocy za zgodne z rynkiem wewnętrznym w zastosowaniu art. 107 i 108 Traktatu).</w:t>
      </w:r>
      <w:r>
        <w:br/>
      </w:r>
      <w:r>
        <w:br/>
        <w:t>Wsparcie może obejmować wyłącznie koszty kwalifikowalne bezpośrednio związane z realizacją inwestycji początkowej:</w:t>
      </w:r>
      <w:r>
        <w:br/>
        <w:t>– nabycie środków trwałych,</w:t>
      </w:r>
      <w:r>
        <w:br/>
        <w:t xml:space="preserve">– nabycie wartości niematerialnych i prawnych, </w:t>
      </w:r>
      <w:r>
        <w:br/>
        <w:t xml:space="preserve">pod warunkiem, że są one bezpośrednio związane ze zwiększeniem zdolności produkcyjnych w obszarze wytwarzania produktów podwójnego zastosowania. </w:t>
      </w:r>
      <w:r>
        <w:br/>
        <w:t>Przedsiębiorstwo będzie mogło otrzymać również wsparcie na szkolenie związane z produkcją produktów podwójnego zastosowania jako podnoszenie kompetencji osób zatrudnionych w przedsiębiorstwie.</w:t>
      </w:r>
      <w:r>
        <w:br/>
      </w:r>
      <w:r>
        <w:lastRenderedPageBreak/>
        <w:br/>
        <w:t>Projekt musi być realizowany na terenie województwa śląskiego. Weryfikacja dokonywana będzie na podstawie wpisu do CEIDG, KRS lub na podstawie NIP-8 na dzień podpisania umowy o dofinansowanie.</w:t>
      </w:r>
      <w:r>
        <w:br/>
      </w:r>
      <w:r>
        <w:br/>
        <w:t xml:space="preserve">Przedsiębiorstwo ma obowiązek zastosowania zasady n+2 w odniesieniu do okresu realizacji projektów. Oznacza to, że od chwili podpisania umowy o dofinansowanie Beneficjent musi zrealizować projekt ujęty we wniosku o dofinansowanie w ciągu dwóch lat. </w:t>
      </w:r>
      <w:r>
        <w:br/>
      </w:r>
      <w:r>
        <w:br/>
        <w:t>W szczególnych przypadkach Instytucja Pośrednicząca może wyrazić zgodę na wydłużenie terminu dotyczącego zasady n+2 z uwzględnieniem możliwego maksymalnego terminu ponoszenia wydatków kwalifikowanych.</w:t>
      </w:r>
      <w:r>
        <w:br/>
      </w:r>
      <w:r>
        <w:br/>
        <w:t>Beneficjent będący MŚP, wsparty w ramach FE SL 2021-2027 zobowiązany jest do realizacji i utrzymania projektu na terenie województwa śląskiego przez cały okres realizacji i trwałości. Okres trwałości dla podmiotów wnioskujących o dofinansowanie w ramach działania wynosi 3 lata.</w:t>
      </w:r>
      <w:r>
        <w:br/>
      </w:r>
      <w:r>
        <w:br/>
        <w:t xml:space="preserve">W ramach działania nie przewidziano wsparcia dla projektów realizowanych w ramach partnerstwa. </w:t>
      </w:r>
      <w:r>
        <w:br/>
      </w:r>
      <w:r>
        <w:br/>
        <w:t>W ramach działania wsparcie nie będzie udzielane na inwestycję w infrastrukturę szerokopasmową. Działanie będzie realizowane z uwzględnieniem zasad horyzontalnych (zgodnie z art. 9 Rozporządzenia Parlamentu Europejskiego i Rady (UE) nr 2021/1060 z dnia 24 czerwca 2021 r.), a obowiązek ich stosowania wynika z Umowy Partnerstwa, programu oraz wytycznych.</w:t>
      </w:r>
      <w:r>
        <w:br/>
      </w:r>
      <w:r>
        <w:br/>
        <w:t>We wszystkich projektach, w których będzie to zasadne i możliwe zostaną zastosowane rozwiązania w zakresie obiegu cyrkularnego (w tym efektywności energetycznej, magazynowania energii a także wykorzystania energii ze źródeł odnawialnych), jak również elementy sprzyjające adaptacji do zmian klimatu (w szczególności zielona i niebieska infrastruktura).</w:t>
      </w:r>
    </w:p>
    <w:p w14:paraId="02C522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2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2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2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2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2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w:t>
      </w:r>
      <w:r>
        <w:lastRenderedPageBreak/>
        <w:t>zgodne z rynkiem wewnętrznym w zastosowaniu art. 107 i 108 Traktatu (Dz. Urz. UE L 187 z 26.06.2014, str. 1, z późn. zm.)</w:t>
      </w:r>
    </w:p>
    <w:p w14:paraId="02C522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2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28 lipca 2023 r. w sprawie udzielania pomocy szkoleniowej w zakresie celu polityki CP1 oraz celu szczegółowego Funduszu na rzecz Sprawiedliwej Transformacji w ramach regionalnych programów na lata 2021–2027 (Dz.U. 2023 poz. 1649)</w:t>
      </w:r>
    </w:p>
    <w:p w14:paraId="02C522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2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2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2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2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2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2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2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22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2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2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2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Przedsiębiorstwa</w:t>
      </w:r>
    </w:p>
    <w:p w14:paraId="02C522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2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MŚP</w:t>
      </w:r>
    </w:p>
    <w:p w14:paraId="02C522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2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bezpieczeństwo, cyberbezpieczeństwo, dual-use, technologie_podwójnego_zastosowania, zdolności_obronne</w:t>
      </w:r>
    </w:p>
    <w:p w14:paraId="02C522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22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Mikro, Średnie</w:t>
      </w:r>
    </w:p>
    <w:p w14:paraId="02C522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2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https://kryteria_funduszeue.slaskie.pl/</w:t>
      </w:r>
    </w:p>
    <w:p w14:paraId="02C522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2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22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22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2C522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2C522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2C522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02C522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2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02C522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2C522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2285"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35" w:name="_Toc235079873"/>
      <w:r>
        <w:rPr>
          <w:rFonts w:ascii="Calibri" w:hAnsi="Calibri" w:cs="Calibri"/>
          <w:i w:val="0"/>
          <w:sz w:val="32"/>
        </w:rPr>
        <w:t>Priorytet FESL.16 Fundusze Europejskie na rzecz bezpieczeństwa cywilnego i mobilności wojskowej</w:t>
      </w:r>
      <w:bookmarkEnd w:id="135"/>
    </w:p>
    <w:p w14:paraId="02C522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22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22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22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02C522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22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CP3 - Lepiej połączona Europa dzięki zwiększeniu mobilności</w:t>
      </w:r>
    </w:p>
    <w:p w14:paraId="02C522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22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22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22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294 500 000,00</w:t>
      </w:r>
    </w:p>
    <w:p w14:paraId="02C522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22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294 500 000,00</w:t>
      </w:r>
    </w:p>
    <w:p w14:paraId="02C522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22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2C522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22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22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22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2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299"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36" w:name="_Toc235079874"/>
      <w:r>
        <w:rPr>
          <w:rFonts w:ascii="Calibri" w:hAnsi="Calibri" w:cs="Calibri"/>
          <w:sz w:val="32"/>
        </w:rPr>
        <w:t>Działanie FESL.16.01 Wzmocnienie infrastruktury wielozadaniowych zbiorników retencyjnych</w:t>
      </w:r>
      <w:bookmarkEnd w:id="136"/>
    </w:p>
    <w:p w14:paraId="02C522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2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EFRR/FS.CP3.III - Rozwój odpornej infrastruktury obronnej, przy priorytetowym traktowaniu infrastruktury podwójnego zastosowania, w tym w celu wspierania mobilności wojskowej w Unii, oraz zwiększanie gotowości cywilnej</w:t>
      </w:r>
    </w:p>
    <w:p w14:paraId="02C522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2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12 000 000,00</w:t>
      </w:r>
    </w:p>
    <w:p w14:paraId="02C522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2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12 000 000,00</w:t>
      </w:r>
    </w:p>
    <w:p w14:paraId="02C522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2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198 - Infrastruktura obronna oraz budowa i modernizacja infrastruktury podwójnego zastosowania, w tym na potrzeby mobilności wojskowej</w:t>
      </w:r>
    </w:p>
    <w:p w14:paraId="02C522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2A3" w14:textId="79193571"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 celu wzmocnienia bezpieczeństwa cywilnego regionu, wsparciem zostanie objęta krytyczna infrastruktura wielozadaniowych zbiorników retencyjnych, zwłaszcza tych, które stanowią podstawowe źródło zaopatrzenia w wodę w regionie, a ich funkcjonowanie jest tak samo niezbędne w razie kryzysu jak i poza nim. Możliwa będzie realizacja inwestycji w zakresie budowy, przebudowy, modernizacji lub remontu urządzeń wodnych i infrastruktury hydrotechnicznej mających szczególne znaczenie z punktu widzenia zaopatrzenia ludności w wodę pitną, a także przeciwdziałania i ograniczania skutków suszy oraz powodzi.</w:t>
      </w:r>
      <w:r>
        <w:br/>
        <w:t xml:space="preserve">Dopuszcza się jako element projektu podniesienie poziomu cyberbezpieczeństwa poprzez zakup niezbędnych narzędzi informatycznych wraz z oprogramowaniem oraz podniesieniem kompetencji </w:t>
      </w:r>
      <w:r>
        <w:lastRenderedPageBreak/>
        <w:t xml:space="preserve">pracowników w zakresie cyberbezpieczeństwa. </w:t>
      </w:r>
      <w:r>
        <w:br/>
      </w:r>
      <w:r>
        <w:br/>
        <w:t>Warunki wsparcia</w:t>
      </w:r>
      <w:r>
        <w:br/>
      </w:r>
      <w:r>
        <w:br/>
        <w:t>- Projekty muszą posiadać pozytywną opinię Wojewody w zakresie zgodności z dokumentami:</w:t>
      </w:r>
      <w:r w:rsidR="002D509E">
        <w:t xml:space="preserve"> </w:t>
      </w:r>
      <w:r>
        <w:t>Programem Ochrony Ludności i Obrony Cywilnej na lata 2025-2026 (oraz jego późniejszymi aktualizacjami) oraz Wojewódzkim Planem Zarządzania Kryzysowego z załącznikami (oraz jego późniejszymi aktualizacjami),</w:t>
      </w:r>
      <w:r>
        <w:br/>
      </w:r>
      <w:r>
        <w:br/>
        <w:t>- Wsparciem objęte są przedsięwzięcia priorytetowe wskazane w Kontrakcie Programowym dla Województwa Śląskiego,</w:t>
      </w:r>
      <w:r>
        <w:br/>
      </w:r>
      <w:r>
        <w:br/>
        <w:t>- Działanie będzie realizowane z uwzględnieniem zasad horyzontalnych (zgodnie z art. 9 Rozporządzenia Parlamentu Europejskiego i Rady (UE) nr 2021/1060 z dnia 24 czerwca 2021 r.), a obowiązek ich stosowania wynika z Umowy Partnerstwa, programu oraz wytycznych,</w:t>
      </w:r>
      <w:r>
        <w:br/>
      </w:r>
      <w:r>
        <w:br/>
        <w:t>- Wykluczone ze wsparcia będą projekty powodujące zastosowanie art. 4.7 Ramowej Dyrektywy Wodnej,</w:t>
      </w:r>
      <w:r>
        <w:br/>
      </w:r>
      <w:r>
        <w:br/>
        <w:t>- Nie będą finansowane inwestycje służące innym celom (rekreacja, turystyka),</w:t>
      </w:r>
      <w:r>
        <w:br/>
      </w:r>
      <w:r>
        <w:br/>
        <w:t>- We wszystkich projektach, w których będzie to zasadne i możliwe zostaną zastosowane rozwiązania w zakresie obiegu cyrkularnego (w tym efektywności energetycznej, magazynowania energii a także wykorzystania energii ze źródeł odnawialnych), jak również elementy sprzyjające adaptacji do zmian klimatu (w szczególności zielona i niebieska infrastruktura),</w:t>
      </w:r>
      <w:r>
        <w:br/>
      </w:r>
      <w:r>
        <w:br/>
        <w:t>- Projekty realizowane w ramach działania powinny być zgodne z Dyrektywą Rady 92/43/EWG w sprawie ochrony siedlisk przyrodniczych oraz dzikiej fauny i flory, a także Dyrektywą Parlamentu Europejskiego i Rady 2009/147/WE w sprawie ochrony dzikiego ptactwa,</w:t>
      </w:r>
      <w:r>
        <w:br/>
      </w:r>
      <w:r>
        <w:br/>
        <w:t>- Wspierane inwestycje nie mogą powodować nieosiągnięcia dobrego stanu lub potencjału jednolitych części wód, nie mogą też pogarszać stanu lub potencjału jednolitych części wód oraz nie mogą mieć znaczącego wpływu na cele ochrony obszarów objętych siecią Natura 2000, chyba że zachodzą przesłanki do odstępstw przewidzianych w Dyrektywie Siedliskowej.</w:t>
      </w:r>
      <w:r>
        <w:br/>
      </w:r>
      <w:r>
        <w:br/>
      </w:r>
    </w:p>
    <w:p w14:paraId="02C522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2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2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22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2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2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2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2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2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2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2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2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2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2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2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2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22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2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2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2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realizujące cele publiczne, Służby publiczne</w:t>
      </w:r>
    </w:p>
    <w:p w14:paraId="02C522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2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odpowiedzialne za gospodarkę wodną, Jednostki organizacyjne działające w imieniu jednostek samorządu terytorialnego, Jednostki Samorządu Terytorialnego, Spółki wodne</w:t>
      </w:r>
    </w:p>
    <w:p w14:paraId="02C522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2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budowle_przeciwpowodziowe, dostarczanie_wody, dostęp_do_wody, infrastruktura_krytyczna</w:t>
      </w:r>
    </w:p>
    <w:p w14:paraId="02C522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22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02C522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2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WLWK-PLRO132 - Liczba obiektów dostosowanych do potrzeb osób z niepełnosprawnościami (EFRR/FST/FS)</w:t>
      </w:r>
    </w:p>
    <w:p w14:paraId="02C522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22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WLWK-PLRO167 - Liczba wybudowanych, przebudowanych i wyremontowanych urządzeń wodnych (w tym obiektów kompleksowych)</w:t>
      </w:r>
    </w:p>
    <w:p w14:paraId="02C522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2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WLWK-RCR096 - Ludność odnosząca korzyści ze środków ochrony przed ryzykami naturalnymi niezwiązanymi z klimatem oraz ryzykami związanymi z działalnością człowieka</w:t>
      </w:r>
    </w:p>
    <w:p w14:paraId="02C522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2C5"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37" w:name="_Toc235079875"/>
      <w:r>
        <w:rPr>
          <w:rFonts w:ascii="Calibri" w:hAnsi="Calibri" w:cs="Calibri"/>
          <w:sz w:val="32"/>
        </w:rPr>
        <w:t>Działanie FESL.16.02 Wzmocnienie potencjału infrastruktury edukacyjnej</w:t>
      </w:r>
      <w:bookmarkEnd w:id="137"/>
    </w:p>
    <w:p w14:paraId="02C522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2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EFRR/FS.CP3.III - Rozwój odpornej infrastruktury obronnej, przy priorytetowym traktowaniu infrastruktury podwójnego zastosowania, w tym w celu wspierania mobilności wojskowej w Unii, oraz zwiększanie gotowości cywilnej</w:t>
      </w:r>
    </w:p>
    <w:p w14:paraId="02C522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2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13 000 000,00</w:t>
      </w:r>
    </w:p>
    <w:p w14:paraId="02C522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2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13 000 000,00</w:t>
      </w:r>
    </w:p>
    <w:p w14:paraId="02C522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2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123 - Infrastruktura na potrzeby szkolnictwa wyższego, 198 - Infrastruktura obronna oraz budowa i modernizacja infrastruktury podwójnego zastosowania, w tym na potrzeby mobilności wojskowej</w:t>
      </w:r>
    </w:p>
    <w:p w14:paraId="02C522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2CF" w14:textId="02F1CAC1"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Przebudowa, budowa, remont pomieszczeń w obiektach infrastruktury szkolnictwa wyższego wraz z zapewnieniem wyposażenia oraz dostosowaniem infrastruktury do edukacji włączającej.</w:t>
      </w:r>
      <w:r>
        <w:br/>
      </w:r>
      <w:r>
        <w:br/>
        <w:t>W działaniu poprzez budowę rozumie się, oprócz budowy, także rozbudowę, odbudowę, nadbudowę.</w:t>
      </w:r>
      <w:r>
        <w:br/>
      </w:r>
      <w:r>
        <w:br/>
        <w:t xml:space="preserve">Interwencja w zakresie wsparcia szkolnictwa wyższego będzie bazować na wykorzystaniu obecnej infrastruktury. Natomiast budowa obiektów budowlanych będzie możliwa w wyjątkowych sytuacjach. Celem głównym jest stworzenie warunków do rozwoju społeczeństwa o wysokich kwalifikacjach </w:t>
      </w:r>
      <w:r>
        <w:lastRenderedPageBreak/>
        <w:t>zawodowych poszukiwanych na rynku pracy, w tym kadr medycznych oraz specjalistów wspierających odporność systemu ochrony zdrowia, bezpieczeństwo zdrowotne i cywilne. Poprawa warunków kształcenia na poziomie wyższym ma służyć m.in. wsparciu inwestycji podnoszących jakość obiektów dydaktycznych wraz z ich wyposażeniem, umożliwiających rozwój nowoczesnej infrastruktury edukacyjnej oraz przygotowanie do skutecznego reagowania w sytuacjach kryzysowych. Inwestycje realizowane w ramach działania powinny przyczyniać się do zwiększania odporności infrastruktury szkolnictwa wyższego na sytuacje kryzysowe oraz wspierać bezpieczeństwo zdrowotne i cywilne.</w:t>
      </w:r>
      <w:r>
        <w:br/>
      </w:r>
      <w:r>
        <w:br/>
        <w:t xml:space="preserve">Diagnozę dotyczącą szkolnictwa wyższego zawiera Regionalna Polityka Rozwoju Edukacji Województwa Śląskiego. Ponadto w ramach infrastruktury szkolnictwa wyższego należy wykazać dostosowanie kierunku kształcenia do specjalizacji regionalnych (Program Rozwoju Technologii Województwa Śląskiego na lata 2019-2030) lub inteligentnych specjalizacji (Regionalna Strategia Innowacji Województwa Śląskiego 2030- Inteligentne Śląskie). </w:t>
      </w:r>
      <w:r>
        <w:br/>
      </w:r>
      <w:r>
        <w:br/>
        <w:t>W ramach działania Wnioskodawca zobowiązany jest do dostosowania infrastruktury oraz zakupu specjalistycznego sprzętu zwiększających poziom włączenia społecznego poprzez uwzględnienie w ramach projektu elementów edukacji włączającej.</w:t>
      </w:r>
      <w:r w:rsidR="002D509E">
        <w:t xml:space="preserve"> </w:t>
      </w:r>
      <w:r>
        <w:br/>
      </w:r>
      <w:r>
        <w:br/>
        <w:t xml:space="preserve">Beneficjent zobowiązany jest do stworzenia w ramach projektu laboratoriów wraz z aparaturą do praktycznej nauki zawodu. Wsparcie jest przeznaczone dla infrastruktury służącej do praktycznej nauki zawodu. Kosztami kwalifikowalnymi nie będą koszty pomieszczeń ogólnodydaktycznych, nie związanych z nauczaniem praktycznym lub zawodowym. Wyjątkiem będą pomieszczenia, w których zaplanowano działania na rzecz edukacji włączającej. </w:t>
      </w:r>
      <w:r>
        <w:br/>
      </w:r>
      <w:r>
        <w:br/>
        <w:t xml:space="preserve">W uzasadnionych przypadkach możliwe będzie uwzględnienie rozwiązań infrastrukturalnych zwiększających ochronę użytkowników obiektów w sytuacjach kryzysowych, w tym tworzenia lub dostosowania wielofunkcyjnych przestrzeni mogących pełnić funkcję miejsc schronienia. </w:t>
      </w:r>
      <w:r>
        <w:br/>
      </w:r>
      <w:r>
        <w:br/>
        <w:t>Warunki wsparcia:</w:t>
      </w:r>
      <w:r>
        <w:br/>
      </w:r>
      <w:r>
        <w:br/>
        <w:t>- Wspierane będą inwestycje o charakterze podwójnego zastosowania, tj. możliwe do wykorzystania zarówno na potrzeby edukacyjne i cywilne, jak i związane z reagowaniem kryzysowym, ochroną ludności lub bezpieczeństwem publicznym,</w:t>
      </w:r>
      <w:r>
        <w:br/>
        <w:t xml:space="preserve"> </w:t>
      </w:r>
      <w:r>
        <w:br/>
        <w:t>- Projekty muszą posiadać pozytywną opinię Wojewody w zakresie zgodności z dokumentami: Programem Ochrony Ludności i Obrony Cywilnej na lata 2025-2026 (oraz jego późniejszymi aktualizacjami) oraz Wojewódzkim Planem Zarządzania Kryzysowego z załącznikami (oraz jego późniejszymi aktualizacjami),</w:t>
      </w:r>
      <w:r>
        <w:br/>
        <w:t xml:space="preserve"> </w:t>
      </w:r>
      <w:r>
        <w:br/>
        <w:t>- Wsparciem objęte są przedsięwzięcia priorytetowe wskazane w Kontrakcie Programowym dla Województwa Śląskiego,</w:t>
      </w:r>
      <w:r>
        <w:br/>
      </w:r>
      <w:r>
        <w:br/>
      </w:r>
      <w:r>
        <w:lastRenderedPageBreak/>
        <w:t>- Działanie będzie realizowane z uwzględnieniem zasad horyzontalnych (zgodnie z art. 9 Rozporządzenia Parlamentu Europejskiego i Rady (UE) nr 2021/1060 z dnia 24 czerwca 2021 r.), a obowiązek ich stosowania wynika z Umowy Partnerstwa, programu oraz wytycznych.</w:t>
      </w:r>
      <w:r>
        <w:br/>
        <w:t xml:space="preserve">  </w:t>
      </w:r>
      <w:r>
        <w:br/>
        <w:t xml:space="preserve">- W projektach, w których będzie to zasadne i możliwe zostaną zastosowane rozwiązania w zakresie obiegu cyrkularnego (w tym efektywności energetycznej, magazynowania energii a także wykorzystania energii ze źródeł odnawialnych), jak również elementy sprzyjające adaptacji do zmian klimatu (w szczególności zielona i niebieska infrastruktura). </w:t>
      </w:r>
    </w:p>
    <w:p w14:paraId="02C522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2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2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2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2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2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14:paraId="02C522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2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w:t>
      </w:r>
    </w:p>
    <w:p w14:paraId="02C522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2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2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02C522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2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2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2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2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22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2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2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2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w:t>
      </w:r>
    </w:p>
    <w:p w14:paraId="02C522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2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Jednostki naukowe, Jednostki Samorządu Terytorialnego, Organizacje badawcze, Uczelnie</w:t>
      </w:r>
    </w:p>
    <w:p w14:paraId="02C522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2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dual-use, edukacja, infrastruktura, infrastruktura_szkolnictwa_wyższego, student, uczelnia</w:t>
      </w:r>
    </w:p>
    <w:p w14:paraId="02C522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2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WLWK-RCO129 - Infrastruktura dostosowana do wymogów mobilności wojskowej</w:t>
      </w:r>
    </w:p>
    <w:p w14:paraId="02C522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WLWK-PLRO131 - Liczba doposażonych uczelni</w:t>
      </w:r>
    </w:p>
    <w:p w14:paraId="02C522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22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22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WLWK-PLRO129 - Liczba wspartych uczelni pod kątem budowy infrastruktury dydaktycznej i naukowej</w:t>
      </w:r>
    </w:p>
    <w:p w14:paraId="02C522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WLWK-PLRO130 - Liczba wspartych uczelni pod kątem przebudowy i rozbudowy infrastruktury dydaktycznej i naukowej</w:t>
      </w:r>
    </w:p>
    <w:p w14:paraId="02C522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WLWK-RCO029 - Pojemność zbudowanych lub odnowionych wielofunkcyjnych schronów</w:t>
      </w:r>
    </w:p>
    <w:p w14:paraId="02C522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2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WLWK-RCR096 - Ludność odnosząca korzyści ze środków ochrony przed ryzykami naturalnymi niezwiązanymi z klimatem oraz ryzykami związanymi z działalnością człowieka</w:t>
      </w:r>
    </w:p>
    <w:p w14:paraId="02C522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2F3"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38" w:name="_Toc235079876"/>
      <w:r>
        <w:rPr>
          <w:rFonts w:ascii="Calibri" w:hAnsi="Calibri" w:cs="Calibri"/>
          <w:sz w:val="32"/>
        </w:rPr>
        <w:lastRenderedPageBreak/>
        <w:t>Działanie FESL.16.03 Wzmocnienie regionalnej infrastruktury medycznej</w:t>
      </w:r>
      <w:bookmarkEnd w:id="138"/>
    </w:p>
    <w:p w14:paraId="02C522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2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EFRR/FS.CP3.III - Rozwój odpornej infrastruktury obronnej, przy priorytetowym traktowaniu infrastruktury podwójnego zastosowania, w tym w celu wspierania mobilności wojskowej w Unii, oraz zwiększanie gotowości cywilnej</w:t>
      </w:r>
    </w:p>
    <w:p w14:paraId="02C522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2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114 700 000,00</w:t>
      </w:r>
    </w:p>
    <w:p w14:paraId="02C522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2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114 700 000,00</w:t>
      </w:r>
    </w:p>
    <w:p w14:paraId="02C522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2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128 - Infrastruktura zdrowotna, 129 - Wyposażenie opieki zdrowotnej, 172 - Finansowanie krzyżowe w ramach EFRR (wsparcie dla działań typowych dla EFS+ koniecznych do wdrożenia części operacji objętej EFRR i bezpośrednio z nią związanych), 198 - Infrastruktura obronna oraz budowa i modernizacja infrastruktury podwójnego zastosowania, w tym na potrzeby mobilności wojskowej</w:t>
      </w:r>
    </w:p>
    <w:p w14:paraId="02C522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2FD" w14:textId="6F115A54"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Wsparcie przeznaczone będzie na wzmocnienie regionalnej infrastruktury medycznej celem zapewnienia ciągłości i wysokiej jakości świadczeń zdrowotnych w obliczu potencjalnych kryzysów tj. konflikty zbrojne, zdarzenia masowe, ataki CBRN (chemiczne, biologiczne, radiologiczne, nuklearne). Projekty dotyczyć będą zabezpieczenia infrastruktury krytycznej sektora zdrowia poprzez m.in.:</w:t>
      </w:r>
      <w:r>
        <w:br/>
        <w:t>- rozbudowę, przebudowę i wyposażenie wysokospecjalistycznych szpitali, które będą w stanie funkcjonować w ekstremalnych warunkach,</w:t>
      </w:r>
      <w:r w:rsidR="002D509E">
        <w:t xml:space="preserve"> </w:t>
      </w:r>
      <w:r>
        <w:br/>
        <w:t>- zapewnienie schronienia i ochronę ludności poprzez utworzenie miejsc zbiorowej ochrony dla personelu i pacjentów w razie działań wojennych,</w:t>
      </w:r>
      <w:r w:rsidR="002D509E">
        <w:t xml:space="preserve"> </w:t>
      </w:r>
      <w:r>
        <w:br/>
        <w:t>- podniesienie poziomu cyberbezpieczeństwa (jako element projektu).</w:t>
      </w:r>
      <w:r w:rsidR="002D509E">
        <w:t xml:space="preserve"> </w:t>
      </w:r>
      <w:r>
        <w:br/>
        <w:t>Możliwe jest również dostosowanie infrastruktury szpitalnej pod obsługę transportu w warunkach zdarzeń masowych, ze szczególnym uwzględnieniem transportu taktycznego w warunkach pola walki, z zabezpieczeniem działań na wypadek użycia broni CBRN.</w:t>
      </w:r>
      <w:r w:rsidR="002D509E">
        <w:t xml:space="preserve"> </w:t>
      </w:r>
      <w:r>
        <w:br/>
        <w:t xml:space="preserve">Inwestycje mogą przewidywać zadania, gwarantujące niezawodność i ciągłość działania podmiotu leczniczego w sytuacji kryzysu, w tym poprzez zapewnienie niezależności energetycznej, m.in. poprzez zakup agregatu prądotwórczego lub innych rozwiązań umożliwiających autonomiczne zasilanie budynku, montaż instalacji fotowoltaicznej przystosowanej do pracy w trybie off grid lub montaż magazynu energii elektrycznej umożliwiającego pracę w trybie off grid. Możliwa jest również termomodernizacja budynku, jako uzupełnienie zadań, związanych z zapewnieniem niezależności energetycznej. Brak wsparcia dla indywidualnych kotłów gazowych, z wyjątkiem hybrydowych systemów grzewczych tj. systemów </w:t>
      </w:r>
      <w:r>
        <w:lastRenderedPageBreak/>
        <w:t>opartych na integralnym połączeniu różnych urządzeń zasilanych OZE i gazem. Integralność polega na współdziałaniu oraz wspólnym i automatycznym sterowaniu różnymi źródłami ciepła, wchodzącymi w skład systemu (np. połączenie kotła gazowego z pompą ciepła).</w:t>
      </w:r>
      <w:r>
        <w:br/>
        <w:t>W celu podniesienia poziomu cyberbezpieczeństwa możliwy jest (jako element projektu) zakup niezbędnych narzędzi informatycznych wraz z oprogramowaniem oraz podniesienie kompetencji pracowników w zakresie cyberbezpieczeństwa. Inwestycje muszą być zgodne ze standardami wyznaczonymi w ramach krajowego systemu cyberbezpieczeństwa, w tym zgodne z aktualnymi zapisami Ustawy o krajowym systemie cyberbezpieczeństwa oraz zgodne z aktualnymi zapisami Ustawy ustanawiającej krajowy system certyfikacji cyberbezpieczeństwa. Inwestycje muszą być komplementarne z inwestycjami planowanymi na poziomie krajowym oraz nie mogą powielać rozwiązań, planowanych do sfinansowania z innych źródeł.</w:t>
      </w:r>
      <w:r>
        <w:br/>
      </w:r>
      <w:r>
        <w:br/>
        <w:t>Warunki wsparcia:</w:t>
      </w:r>
      <w:r>
        <w:br/>
        <w:t xml:space="preserve">- projekty muszą posiadać pozytywną opinię Wojewody w zakresie zgodności z dokumentami: Programem Ochrony Ludności i Obrony Cywilnej na lata 2025-2026 (oraz jego późniejszymi aktualizacjami) oraz Wojewódzkim Planem Zarządzania Kryzysowego z załącznikami (oraz jego późniejszymi aktualizacjami); </w:t>
      </w:r>
      <w:r>
        <w:br/>
        <w:t>- przedsięwzięcia z zakresu infrastruktury ochrony zdrowia zostaną objęte wsparciem odpowiednio pod warunkiem uzyskania pozytywnej opinii o celowości inwestycji (OCI) zgodnie z przesłankami dla wydania OCI lub zwolnienia z obowiązku wydania OCI – zgodnie z ustawą o świadczeniach opieki zdrowotnej finansowanych ze środków publicznych. Obowiązek uzyskania OCI dotyczy projektów o wartości powyżej 2 mln zł, które stanowią inwestycję w działalność leczniczą (w tym modernizację infrastruktury lub wyposażenia służącego udzielaniu świadczeń zdrowotnych), w przypadku projektów dotyczących wyłącznie niezależności energetycznej i bezpieczeństwa energetycznego obowiązek ten nie występuje;</w:t>
      </w:r>
      <w:r>
        <w:br/>
        <w:t>- wsparciem objęte są przedsięwzięcia priorytetowe wskazane w Kontrakcie Programowym dla Województwa Śląskiego;</w:t>
      </w:r>
      <w:r>
        <w:br/>
        <w:t>- przedsięwzięcia stanowiące inwestycje w działalność leczniczą, które wpływają na zakres lub strukturę udzielanych świadczeń zdrowotnych muszą wykazać:</w:t>
      </w:r>
      <w:r>
        <w:br/>
      </w:r>
      <w:r w:rsidR="002D509E">
        <w:t xml:space="preserve"> </w:t>
      </w:r>
      <w:r>
        <w:t>1) zgodność z mapami potrzeb zdrowotnych,</w:t>
      </w:r>
      <w:r>
        <w:br/>
      </w:r>
      <w:r w:rsidR="002D509E">
        <w:t xml:space="preserve"> </w:t>
      </w:r>
      <w:r>
        <w:t>2) zgodność z dokumentem „Zdrowa Przyszłość. Ramy Strategiczne Rozwoju Systemu Ochrony Zdrowia na lata 2021-2027 z perspektywą do 2030 r.”,</w:t>
      </w:r>
      <w:r>
        <w:br/>
      </w:r>
      <w:r w:rsidR="002D509E">
        <w:t xml:space="preserve"> </w:t>
      </w:r>
      <w:r>
        <w:t>3) zgodność z Planem Transformacji dla Województwa Śląskiego,</w:t>
      </w:r>
      <w:r>
        <w:br/>
      </w:r>
      <w:r w:rsidR="002D509E">
        <w:t xml:space="preserve"> </w:t>
      </w:r>
      <w:r>
        <w:t>4) dodatkowo dla zakresu psychiatrii należy wykazać zgodność z następującymi warunkami:</w:t>
      </w:r>
      <w:r>
        <w:br/>
      </w:r>
      <w:r w:rsidR="002D509E">
        <w:t xml:space="preserve"> </w:t>
      </w:r>
      <w:r>
        <w:t>a) projekty przyczyniają się do systemowego wdrażania reformy psychiatrii w kierunku modelu psychiatrii środowiskowej, opartej na formach zdeinstytucjonalizowanych;</w:t>
      </w:r>
      <w:r>
        <w:br/>
      </w:r>
      <w:r w:rsidR="002D509E">
        <w:t xml:space="preserve"> </w:t>
      </w:r>
      <w:r>
        <w:t>b) projekty mogą wspierać opiekę stacjonarną całodobową w psychiatrii dzieci i młodzieży oraz psychiatrii dorosłych jedynie w przypadku, gdy podmiot wspiera ze środków</w:t>
      </w:r>
      <w:r w:rsidR="002D509E">
        <w:t xml:space="preserve"> </w:t>
      </w:r>
      <w:r>
        <w:t>Europejskiego Funduszu Rozwoju Regionalnego lub Europejskiego Funduszu Społecznego Plus formy zdeinstytucjonalizowane;</w:t>
      </w:r>
      <w:r>
        <w:br/>
        <w:t>- wspierane będą inwestycje o charakterze podwójnego zastosowania, tj. możliwe do wykorzystania zarówno na potrzeby zdrowotne i cywilne, jak i związane z reagowaniem kryzysowym, ochroną ludności lub bezpieczeństwem publicznym;</w:t>
      </w:r>
      <w:r>
        <w:br/>
        <w:t xml:space="preserve">- przedmiot projektu ma być wykorzystywany do udzielania świadczeń finansowanych ze środków </w:t>
      </w:r>
      <w:r>
        <w:lastRenderedPageBreak/>
        <w:t>publicznych (kontrakt z NFZ będzie wymagany w sytuacji, jeśli przedmiot projektu będzie wykorzystywany w ramach dual-use, tj. zarówno w czasie pokoju jak i w czasie kryzysów). Natomiast, jeśli projekt dotyczy wyłącznie bezpieczeństwa energetycznego – kontrakt z NFZ nie będzie wymagany. Kontrakt z NFZ również nie będzie wymagany w przypadku projektów, przewidujących wykorzystanie przedmiotu projektu wyłącznie w sytuacji wystąpienia sytuacji kryzysowej;</w:t>
      </w:r>
      <w:r>
        <w:br/>
        <w:t>- we wszystkich projektach, w których będzie to zasadne i możliwe, zostaną zastosowane rozwiązania w zakresie obiegu cyrkularnego (w tym efektywności energetycznej, magazynowania energii, a także wykorzystania energii ze źródeł odnawialnych), jak również elementy sprzyjające adaptacji do zmian klimatu (w szczególności zielona i niebieska infrastruktura),</w:t>
      </w:r>
      <w:r>
        <w:br/>
        <w:t>- projekt musi być zgodny z zasadą DNSH, w szczególności poprzez zastosowanie rozwiązań uodparniających inwestycję na zmiany klimatu,</w:t>
      </w:r>
      <w:r>
        <w:br/>
        <w:t>- działanie będzie realizowane z uwzględnieniem zasad horyzontalnych (zgodnie z art. 9 Rozporządzenia Parlamentu Europejskiego i Rady (UE) nr 2021/1060 z dnia 24 czerwca 2021 r.), a obowiązek ich stosowania wynika z Umowy Partnerstwa, programu oraz wytycznych,</w:t>
      </w:r>
      <w:r>
        <w:br/>
        <w:t xml:space="preserve">- w przypadku projektów, w których ujęto elementy dot. energetyki: </w:t>
      </w:r>
      <w:r>
        <w:br/>
        <w:t xml:space="preserve">zapewnienie minimalnego poziomu niezależności energetycznej, umożliwiającego funkcjonowanie budynku w przypadku przerwy w dostawach energii elektrycznej z sieci, spowodowanej wystąpieniem sytuacji kryzysowej, w szczególności poprzez: zakup agregatu prądotwórczego lub innych rozwiązań umożliwiających autonomiczne zasilanie budynku, montaż instalacji fotowoltaicznej przystosowanej do pracy w trybie off grid lub montaż magazynu energii elektrycznej umożliwiającego pracę w trybie off grid. Możliwa jest również termomodernizacja budynku, jako uzupełnienie zadań, związanych z zapewnieniem niezależności energetycznej. Brak wsparcia dla indywidualnych kotłów gazowych, z wyjątkiem hybrydowych systemów grzewczych tj. systemów opartych na integralnym połączeniu różnych urządzeń zasilanych OZE i gazem. Integralność polega na współdziałaniu oraz wspólnym i automatycznym sterowaniu różnymi źródłami ciepła, wchodzącymi w skład systemu (np. połączenie kotła gazowego z pompą ciepła). </w:t>
      </w:r>
      <w:r>
        <w:br/>
        <w:t>Zgodnie z art. 7 Rozporządzenia PE i Rady (UE) 2021/1058 - wsparcia nie udziela się m.in. na inwestycje w zakresie produkcji, przetwarzania, transportu, dystrybucji, magazynowania lub spalania paliw kopalnych z wyjątkiem agregatów do produkcji prądu,</w:t>
      </w:r>
      <w:r>
        <w:br/>
        <w:t>- w projektach przewidujących elementy dot. cyberbezpieczeństwa - inwestycje muszą być zgodne ze standardami wyznaczonymi w ramach krajowego systemu cyberbezpieczeństwa, w tym zgodne z aktualnymi zapisami Ustawy o krajowym systemie cyberbezpieczeństwa oraz zgodne z aktualnymi zapisami Ustawy ustanawiającej krajowy system certyfikacji cyberbezpieczeństwa. Inwestycje muszą być komplementarne z inwestycjami planowanymi na poziomie krajowym oraz nie mogą powielać rozwiązań planowanych do sfinansowania z innych źródeł. Przedsięwzięcia obejmujące zadania dot. cyberbezpieczeństwa muszą spełniać warunki i standardy cyberbezpieczeństwa określone w ustawie z dnia 23 stycznia 2026 r. o zmianie ustawy o krajowym systemie cyberbezpieczeństwa oraz niektórych innych ustaw (Dz. U. z 2026 r., poz.252).</w:t>
      </w:r>
    </w:p>
    <w:p w14:paraId="02C522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2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3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2C523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3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3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23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3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w:t>
      </w:r>
    </w:p>
    <w:p w14:paraId="02C523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3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3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3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30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3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23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23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23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3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Niekonkurencyjny</w:t>
      </w:r>
    </w:p>
    <w:p w14:paraId="02C523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3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3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3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Partnerstwa</w:t>
      </w:r>
    </w:p>
    <w:p w14:paraId="02C5231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3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Niepubliczne zakłady opieki zdrowotnej, Partnerstwa Publiczno-Prywatne, Publiczne zakłady opieki zdrowotnej</w:t>
      </w:r>
    </w:p>
    <w:p w14:paraId="02C523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3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dual-use, infrastruktura_ochrony_zdrowia, szpitale</w:t>
      </w:r>
    </w:p>
    <w:p w14:paraId="02C523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3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3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3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23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WLWK-PLRO013 - Liczba osób objętych szkoleniami w zakresie kompetencji cyfrowych</w:t>
      </w:r>
    </w:p>
    <w:p w14:paraId="02C523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WLWK-PLRO014 - Liczba podmiotów wspartych w zakresie cyberbezpieczeństwa</w:t>
      </w:r>
    </w:p>
    <w:p w14:paraId="02C523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23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WLWK-PLRO204 - Liczba wspartych podmiotów leczniczych udzielających świadczeń w zakresie innym niż POZ, AOS, psychiatrii na I i II poziomie referencyjnym</w:t>
      </w:r>
    </w:p>
    <w:p w14:paraId="02C523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WLWK-RCO069 - Pojemność nowych lub zmodernizowanych placówek opieki zdrowotnej</w:t>
      </w:r>
    </w:p>
    <w:p w14:paraId="02C523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WLWK-RCO029 - Pojemność zbudowanych lub odnowionych wielofunkcyjnych schronów</w:t>
      </w:r>
    </w:p>
    <w:p w14:paraId="02C523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3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WLWK-RCR096 - Ludność odnosząca korzyści ze środków ochrony przed ryzykami naturalnymi niezwiązanymi z klimatem oraz ryzykami związanymi z działalnością człowieka</w:t>
      </w:r>
    </w:p>
    <w:p w14:paraId="02C523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WLWK-RCR073 - Roczna liczba użytkowników nowych lub zmodernizowanych placówek opieki zdrowotnej</w:t>
      </w:r>
    </w:p>
    <w:p w14:paraId="02C523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WLWK-RCR011 - Użytkownicy nowych i zmodernizowanych publicznych usług, produktów i procesów cyfrowych</w:t>
      </w:r>
    </w:p>
    <w:p w14:paraId="02C523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327"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39" w:name="_Toc235079877"/>
      <w:r>
        <w:rPr>
          <w:rFonts w:ascii="Calibri" w:hAnsi="Calibri" w:cs="Calibri"/>
          <w:sz w:val="32"/>
        </w:rPr>
        <w:lastRenderedPageBreak/>
        <w:t>Działanie FESL.16.04 Wzmocnienie bezpieczeństwa infrastruktury lotniskowej</w:t>
      </w:r>
      <w:bookmarkEnd w:id="139"/>
    </w:p>
    <w:p w14:paraId="02C523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3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EFRR/FS.CP3.III - Rozwój odpornej infrastruktury obronnej, przy priorytetowym traktowaniu infrastruktury podwójnego zastosowania, w tym w celu wspierania mobilności wojskowej w Unii, oraz zwiększanie gotowości cywilnej</w:t>
      </w:r>
    </w:p>
    <w:p w14:paraId="02C523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3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13 000 000,00</w:t>
      </w:r>
    </w:p>
    <w:p w14:paraId="02C523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3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13 000 000,00</w:t>
      </w:r>
    </w:p>
    <w:p w14:paraId="02C523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3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198 - Infrastruktura obronna oraz budowa i modernizacja infrastruktury podwójnego zastosowania, w tym na potrzeby mobilności wojskowej</w:t>
      </w:r>
    </w:p>
    <w:p w14:paraId="02C523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331" w14:textId="40842373"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rsidR="002D509E">
        <w:t xml:space="preserve"> </w:t>
      </w:r>
      <w:r>
        <w:t xml:space="preserve">W ramach działania wsparciem zostanie objęta infrastruktura lotniskowa o kluczowym znaczeniu dla zapewnienia bezpieczeństwa operacji lotniczych, ochrony ludności oraz ciągłości funkcjonowania portu lotniczego w warunkach zagrożeń, sytuacji kryzysowych i zdarzeń nadzwyczajnych. Interwencja ukierunkowana jest na wzmocnienie zdolności reagowania lotniskowych służb ratowniczych oraz zapewnienie sprawnego systemu koordynacji działań ratowniczych i zarządzania kryzysowego na terenie lotniska. </w:t>
      </w:r>
      <w:r>
        <w:br/>
      </w:r>
      <w:r>
        <w:br/>
        <w:t xml:space="preserve">Wsparcie w ramach działania obejmuje realizację inwestycji infrastrukturalnych oraz zakup wyposażenia niezbędnych do wzmocnienia bezpieczeństwa infrastruktury lotniskowej, w szczególności poprzez: </w:t>
      </w:r>
      <w:r>
        <w:br/>
      </w:r>
      <w:r>
        <w:br/>
        <w:t>- budowę / przebudowę / modernizację obiektów odpowiedzialnych za prowadzenie działań ratowniczo gaśniczych oraz zapewnienie funkcjonowania lotniskowego centrum koordynacji ratownictwa i zarządzania kryzysowego w tym zaplecza dla sztabu kryzysowego i niezbędnej łączności,</w:t>
      </w:r>
      <w:r w:rsidR="002D509E">
        <w:t xml:space="preserve"> </w:t>
      </w:r>
      <w:r>
        <w:br/>
      </w:r>
      <w:r>
        <w:br/>
        <w:t>- budowę lub modernizację układu komunikacyjnego i infrastruktury towarzyszącej zapewniającej wymagane czasy reakcji służb ratowniczych oraz bezpośredni dostęp do kluczowych elementów infrastruktury lotniskowej,</w:t>
      </w:r>
      <w:r w:rsidR="002D509E">
        <w:t xml:space="preserve"> </w:t>
      </w:r>
      <w:r>
        <w:br/>
      </w:r>
      <w:r>
        <w:br/>
        <w:t xml:space="preserve">- zakup specjalistycznego wyposażenia i środków trwałych, niezbędnych do prowadzenia akcji ratowniczo gaśniczych i zabezpieczenia operacji lotniczych, w tym specjalistycznych lotniskowych pojazdów ratowniczo gaśniczych wraz z wyposażeniem. </w:t>
      </w:r>
      <w:r>
        <w:br/>
      </w:r>
      <w:r>
        <w:lastRenderedPageBreak/>
        <w:br/>
        <w:t xml:space="preserve">Dopuszcza się jako element projektu podniesienie poziomu cyberbezpieczeństwa poprzez zakup niezbędnych narzędzi informatycznych wraz z oprogramowaniem oraz podniesieniem kompetencji pracowników w zakresie cyberbezpieczeństwa. Elementy projektu związane z cyberbezpieczeństwem muszą być zgodne ze standardami wyznaczonymi w ramach krajowego systemu cyberbezpieczeństwa, w tym zgodne z aktualnymi zapisami Ustawy o krajowym systemie cyberbezpieczeństwa oraz zgodne z aktualnymi zapisami Ustawy ustanawiającej krajowy system certyfikacji cyberbezpieczeństwa. Inwestycje muszą być komplementarne z inwestycjami planowanymi na poziomie krajowym oraz nie mogą powielać rozwiązań planowanych do sfinansowania z innych źródeł. </w:t>
      </w:r>
      <w:r>
        <w:br/>
      </w:r>
      <w:r>
        <w:br/>
        <w:t xml:space="preserve">O ile będzie to zasadne i możliwe, w projekcie zostaną zastosowane rozwiązania w zakresie obiegu cyrkularnego (w tym efektywności energetycznej, magazynowania energii a także wykorzystania energii ze źródeł odnawialnych), jak również elementy sprzyjające adaptacji do zmian klimatu (w szczególności zielona i niebieska infrastruktura). Kwalifikowalne będą w tym elementy gwarantujące niezawodność i ciągłość działania w sytuacji kryzysu, w tym poprzez zapewnienie niezależności energetycznej, m.in. poprzez: zakup agregatu prądotwórczego i/lub innych rozwiązań umożliwiających autonomiczne zasilanie budynku, montaż instalacji fotowoltaicznej przystosowanej do pracy w trybie off grid lub montaż magazynu energii elektrycznej umożliwiającego pracę w trybie off grid wraz z ewentualną termomodernizacją budynków. </w:t>
      </w:r>
      <w:r>
        <w:br/>
      </w:r>
      <w:r>
        <w:br/>
        <w:t>Warunki wsparcia</w:t>
      </w:r>
      <w:r>
        <w:br/>
        <w:t>- W ramach działania wsparcie uzyska przedsięwzięcie priorytetowe wskazane w Kontrakcie Programowym dla Województwa Śląskiego,</w:t>
      </w:r>
      <w:r>
        <w:br/>
      </w:r>
      <w:r>
        <w:br/>
        <w:t>- Projekt musi posiadać pozytywną opinię Wojewody w zakresie zgodności z dokumentami:</w:t>
      </w:r>
      <w:r w:rsidR="002D509E">
        <w:t xml:space="preserve"> </w:t>
      </w:r>
      <w:r>
        <w:t>Programem Ochrony Ludności i Obrony Cywilnej na lata 2025-2026 (oraz jego późniejszymi aktualizacjami) oraz Wojewódzkim Planem Zarządzania Kryzysowego z załącznikami (oraz jego późniejszymi aktualizacjami),</w:t>
      </w:r>
      <w:r>
        <w:br/>
        <w:t>- Wspierane będą inwestycje o charakterze podwójnego zastosowania, tj. możliwe do wykorzystania zarówno na potrzeby cywilne, jak i związane z reagowaniem kryzysowym, ochroną ludności lub bezpieczeństwem publicznym (dual use),</w:t>
      </w:r>
      <w:r>
        <w:br/>
      </w:r>
      <w:r>
        <w:br/>
        <w:t xml:space="preserve">- Działanie będzie realizowane z uwzględnieniem zasad horyzontalnych (zgodnie z art. 9 Rozporządzenia Parlamentu Europejskiego i Rady (UE) nr 2021/1060 z dnia 24 czerwca 2021 r.), a obowiązek ich stosowania wynika z Umowy Partnerstwa, programu oraz wytycznych, </w:t>
      </w:r>
      <w:r>
        <w:br/>
      </w:r>
      <w:r>
        <w:br/>
        <w:t>- Projekt musi być zgodny z zasadą DNSH, w szczególności poprzez zastosowanie rozwiązań uodparniających inwestycję na zmiany klimatu,</w:t>
      </w:r>
      <w:r>
        <w:br/>
      </w:r>
      <w:r>
        <w:br/>
        <w:t>- W przypadku ujęcia elementów związanych z cyberbezpieczeństwem – przedsięwzięcia muszą być zgodne ze standardami wyznaczonymi w ramach krajowego systemu cyberbezpieczeństwa oraz nie mogą powielać rozwiązań planowanych do sfinansowania z innych źródeł,</w:t>
      </w:r>
      <w:r>
        <w:br/>
      </w:r>
      <w:r>
        <w:br/>
      </w:r>
      <w:r>
        <w:lastRenderedPageBreak/>
        <w:t xml:space="preserve">- W przypadku projektów, w których ujęto elementy dot. energetyki: </w:t>
      </w:r>
      <w:r>
        <w:br/>
        <w:t>zapewnienie minimalnego poziomu niezależności energetycznej, umożliwiającego funkcjonowanie budynku w przypadku przerwy w dostawach energii elektrycznej z sieci, spowodowanej wystąpieniem sytuacji kryzysowej, w szczególności poprzez: zakup agregatu prądotwórczego lub innych rozwiązań umożliwiających autonomiczne zasilanie budynku, montaż instalacji fotowoltaicznej przystosowanej do pracy w trybie off grid lub montaż magazynu energii elektrycznej umożliwiającego pracę w trybie off grid. Możliwa jest również termomodernizacja budynku, jako uzupełnienie zadań, związanych z zapewnieniem niezależności energetycznej. Brak wsparcia dla indywidualnych kotłów gazowych, z wyjątkiem hybrydowych systemów grzewczych tj. systemów opartych na integralnym połączeniu różnych urządzeń zasilanych OZE i gazem. Integralność polega na współdziałaniu oraz wspólnym i automatycznym sterowaniu różnymi źródłami ciepła, wchodzącymi w skład systemu (np. połączenie kotła gazowego z pompą ciepła),</w:t>
      </w:r>
      <w:r>
        <w:br/>
      </w:r>
      <w:r>
        <w:br/>
        <w:t xml:space="preserve">- Zgodnie z art. 7 Rozporządzenia PE i Rady (UE) 2021/1058 - wsparcia nie udziela się m.in. na inwestycje w zakresie produkcji, przetwarzania, transportu, dystrybucji, magazynowania lub spalania paliw kopalnych z wyjątkiem agregatów do produkcji prądu. </w:t>
      </w:r>
      <w:r>
        <w:br/>
      </w:r>
    </w:p>
    <w:p w14:paraId="02C523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3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3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3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3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3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 Traktat o funkcjonowaniu Unii Europejskiej</w:t>
      </w:r>
    </w:p>
    <w:p w14:paraId="02C523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3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w:t>
      </w:r>
      <w:r>
        <w:lastRenderedPageBreak/>
        <w:t>inwestycyjnej w ramach programów regionalnych na lata 2021–2027 (Dz. U. z 2026 r., poz. 916), Rozporządzenie Ministra Funduszy i Polityki Regionalnej z dnia 17 kwietnia 2024 r. w sprawie udzielania pomocy de minimis w ramach regionalnych programów na lata 2021–2027 (Dz.U. 2024 poz. 598)</w:t>
      </w:r>
    </w:p>
    <w:p w14:paraId="02C523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3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3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33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3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3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23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3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23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3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3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3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Przedsiębiorstwa realizujące cele publiczne</w:t>
      </w:r>
    </w:p>
    <w:p w14:paraId="02C523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3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Porty lotnicze</w:t>
      </w:r>
    </w:p>
    <w:p w14:paraId="02C523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34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dual-use, jednostka_ratownicza, lotnisko, port_lotniczy</w:t>
      </w:r>
    </w:p>
    <w:p w14:paraId="02C523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23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02C523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3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3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3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WLWK-RCO129 - Infrastruktura dostosowana do wymogów mobilności wojskowej</w:t>
      </w:r>
    </w:p>
    <w:p w14:paraId="02C523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23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23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WLWK-PLRO302 - Liczba wspartych lotnisk</w:t>
      </w:r>
    </w:p>
    <w:p w14:paraId="02C523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WLWK-PLRO042 - Liczba zakupionych wozów pożarniczych wyposażonych w sprzęt do prowadzenia akcji ratowniczych i usuwania skutków katastrof</w:t>
      </w:r>
    </w:p>
    <w:p w14:paraId="02C523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3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WLWK-RCR096 - Ludność odnosząca korzyści ze środków ochrony przed ryzykami naturalnymi niezwiązanymi z klimatem oraz ryzykami związanymi z działalnością człowieka</w:t>
      </w:r>
    </w:p>
    <w:p w14:paraId="02C523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357"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40" w:name="_Toc235079878"/>
      <w:r>
        <w:rPr>
          <w:rFonts w:ascii="Calibri" w:hAnsi="Calibri" w:cs="Calibri"/>
          <w:sz w:val="32"/>
        </w:rPr>
        <w:t>Działanie FESL.16.05 Wzmocnienie infrastruktury budynków użyteczności publicznej</w:t>
      </w:r>
      <w:bookmarkEnd w:id="140"/>
    </w:p>
    <w:p w14:paraId="02C523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3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EFRR/FS.CP3.III - Rozwój odpornej infrastruktury obronnej, przy priorytetowym traktowaniu infrastruktury podwójnego zastosowania, w tym w celu wspierania mobilności wojskowej w Unii, oraz zwiększanie gotowości cywilnej</w:t>
      </w:r>
    </w:p>
    <w:p w14:paraId="02C523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3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13 000 000,00</w:t>
      </w:r>
    </w:p>
    <w:p w14:paraId="02C523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3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13 000 000,00</w:t>
      </w:r>
    </w:p>
    <w:p w14:paraId="02C523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3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016 - Rozwiązania TIK, usługi elektroniczne, aplikacje dla administracji, 198 - Infrastruktura obronna oraz budowa i modernizacja infrastruktury podwójnego zastosowania, w tym na potrzeby mobilności wojskowej</w:t>
      </w:r>
    </w:p>
    <w:p w14:paraId="02C523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361" w14:textId="45B2E4DA"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rsidR="002D509E">
        <w:t xml:space="preserve"> </w:t>
      </w:r>
      <w:r>
        <w:t>Wsparcie w ramach działania ukierunkowane jest na wzmocnienie zdolności ochrony ludności oraz obrony cywilnej w sytuacjach kryzysowych, w tym konfliktów zbrojnych, zdarzeń masowych oraz zagrożeń CBRN, poprzez realizację projektów infrastrukturalnych o charakterze podwójnego zastosowania (dual-use).</w:t>
      </w:r>
      <w:r>
        <w:br/>
      </w:r>
      <w:r>
        <w:br/>
        <w:t>Interwencja obejmuje w szczególności następujące obszary:</w:t>
      </w:r>
      <w:r>
        <w:br/>
      </w:r>
      <w:r>
        <w:br/>
        <w:t>1.</w:t>
      </w:r>
      <w:r>
        <w:tab/>
        <w:t>Infrastrukturę ochrony ludności i obrony cywilnej, w tym budowę, przebudowę lub adaptację obiektów zbiorowej ochrony (schrony, miejsca ukrycia, miejsca doraźnego schronienia), magazynów oraz innych obiektów niezbędnych do realizacji zadań ochronnych.</w:t>
      </w:r>
      <w:r>
        <w:br/>
      </w:r>
      <w:r>
        <w:br/>
        <w:t>2.</w:t>
      </w:r>
      <w:r>
        <w:tab/>
        <w:t xml:space="preserve">Wzmocnienie bezpieczeństwa energetycznego infrastruktury, rozumiane jako zapewnienie </w:t>
      </w:r>
      <w:r>
        <w:lastRenderedPageBreak/>
        <w:t>ciągłości funkcjonowania obiektów w sytuacjach kryzysowych, w szczególności poprzez zastosowanie rozwiązań umożliwiających autonomiczne zasilanie wraz z ochroną termiczną budynków;</w:t>
      </w:r>
      <w:r>
        <w:br/>
        <w:t>a.</w:t>
      </w:r>
      <w:r w:rsidR="002D509E">
        <w:t xml:space="preserve"> </w:t>
      </w:r>
      <w:r>
        <w:t>Wzmocnienie bezpieczeństwa może być realizowane również jako modernizacja energetyczna budynku i/lub zastosowanie OZE – konieczne jest wówczas zagwarantowanie niezależności energetycznej budynku poprzez realizację minimalnego zakresu umożliwiającego funkcjonowanie obiektu w przypadku braku zasilania z sieci z powodu wystąpienia sytuacji kryzysowej np. poprzez zakup agregatu prądotwórczego, montaż instalacji PV przystosowanej do pracy w trybie off-grid, montaż magazynu energii elektrycznej przystosowany do pracy w trybie off-grid).</w:t>
      </w:r>
      <w:r>
        <w:br/>
      </w:r>
      <w:r>
        <w:br/>
        <w:t>3.</w:t>
      </w:r>
      <w:r>
        <w:tab/>
        <w:t>Podniesienie poziomu cyberbezpieczeństwa mających na celu zapewnienie ciągłości funkcjonowania infrastruktury krytycznej oraz systemów wykorzystywanych do realizacji zadań ochrony ludności i obrony cywilnej w sytuacjach kryzysowych. Inwestycje muszą być zgodne ze standardami wyznaczonymi w ramach krajowego systemu cyberbezpieczeństwa, w tym zgodne z aktualnymi zapisami Ustawy o krajowym systemie cyberbezpieczeństwa oraz zgodne z aktualnymi zapisami Ustawy ustanawiającej krajowy system certyfikacji cyberbezpieczeństwa. Ponadto, przedsięwzięcia te mają być komplementarne z inwestycjami realizowanymi na poziomie krajowym oraz nie mogą powielać rozwiązań finansowanych z innych źródeł. Inwestycje mają pozostawać w bezpośrednim związku z realizacją zadań ochrony ludności, obrony cywilnej lub zarządzania kryzysowego.</w:t>
      </w:r>
      <w:r>
        <w:br/>
      </w:r>
      <w:r>
        <w:br/>
        <w:t>Projekty z zakresu cyberbezpieczeństwa mogą być realizowane:</w:t>
      </w:r>
      <w:r>
        <w:br/>
        <w:t>a.</w:t>
      </w:r>
      <w:r>
        <w:tab/>
        <w:t>jako element projektów inwestycyjnych obejmujących infrastrukturę ochrony ludności, obrony cywilnej, ochrony zdrowia, infrastruktury budynków użyteczności publicznej lub,</w:t>
      </w:r>
      <w:r>
        <w:br/>
        <w:t>b.</w:t>
      </w:r>
      <w:r>
        <w:tab/>
        <w:t>jako samodzielne projekty, których wyłącznym celem jest wzmocnienie odporności cyfrowej podmiotów realizujących zadania z zakresu ochrony ludności, obrony cywilnej lub zarządzania kryzysowego.</w:t>
      </w:r>
      <w:r>
        <w:br/>
      </w:r>
      <w:r>
        <w:br/>
        <w:t>W działaniu 16.05 dopuszcza się inwestycje, które realizują więcej niż jeden z w/w obszarów.</w:t>
      </w:r>
      <w:r>
        <w:br/>
      </w:r>
      <w:r>
        <w:br/>
      </w:r>
      <w:r>
        <w:br/>
        <w:t>Rozpoczęcie terminu kwalifikowalności wydatków - 29 grudnia 2025 r.</w:t>
      </w:r>
      <w:r>
        <w:br/>
        <w:t>Warunki wsparcia:</w:t>
      </w:r>
      <w:r>
        <w:br/>
      </w:r>
      <w:r>
        <w:br/>
        <w:t>- Projekty muszą posiadać pozytywną opinię Wojewody w zakresie zgodności z dokumentami: Programem Ochrony Ludności i Obrony Cywilnej na lata 2025-2026 (oraz jego późniejszymi aktualizacjami) oraz Wojewódzkim Planem Zarządzania Kryzysowego z załącznikami (oraz jego późniejszymi aktualizacjami).</w:t>
      </w:r>
      <w:r>
        <w:br/>
      </w:r>
      <w:r>
        <w:br/>
        <w:t>- Wsparciem objęte zostaną jednostki organizacyjne Województwa Śląskiego oraz spółki z udziałem Województwa Śląskiego. Przedsięwzięcie planowane do realizacji w ramach działania jest ujęte w Kontrakcie Programowym dla Województwa Śląskiego.</w:t>
      </w:r>
      <w:r>
        <w:br/>
        <w:t xml:space="preserve">- Wspierane będą inwestycje o charakterze podwójnego zastosowania, tj. możliwe do wykorzystania zarówno na potrzeby cywilne, jak i związane z reagowaniem kryzysowym, ochroną ludności lub </w:t>
      </w:r>
      <w:r>
        <w:lastRenderedPageBreak/>
        <w:t>bezpieczeństwem publicznym (dual use).</w:t>
      </w:r>
      <w:r>
        <w:br/>
        <w:t xml:space="preserve"> </w:t>
      </w:r>
      <w:r>
        <w:br/>
        <w:t>- Zgodnie z art. 7 Rozporządzenia PE i Rady (UE) 2021/1058 - wsparcia nie udziela się m.in. na inwestycje w zakresie produkcji, przetwarzania, transportu, dystrybucji, magazynowania lub spalania paliw kopalnych z wyjątkiem agregatów do produkcji prądu.</w:t>
      </w:r>
      <w:r>
        <w:br/>
      </w:r>
      <w:r>
        <w:br/>
        <w:t xml:space="preserve">- Projekt musi być zgodny z zasadą deinstytucjonalizacji oraz upowszechniać model edukacji włączającej. Wyjątek: jeśli projekt obejmuje stworzenie, na terenie obiektu/ w budynku, w którym prowadzona jest działalność niezgodna z zasadą DI lub który dotyczy szkoły specjalnej lub innej placówki prowadzącej do segregacji lub utrzymania segregacji, obiektów niezbędnych do realizacji zadań ochronnych, np. miejsca doraźnego schronienia, ukrycia, schrony, punkty schronienia - pod warunkiem, że miejsca te będą ogólnodostępne. </w:t>
      </w:r>
      <w:r>
        <w:br/>
      </w:r>
      <w:r>
        <w:br/>
        <w:t>- Działanie będzie realizowane z uwzględnieniem zasad horyzontalnych (zgodnie z art. 9 Rozporządzenia Parlamentu Europejskiego i Rady (UE) nr 2021/1060 z dnia 24 czerwca 2021 r.), a obowiązek ich stosowania wynika z Umowy Partnerstwa, programu oraz wytycznych.</w:t>
      </w:r>
      <w:r>
        <w:br/>
      </w:r>
      <w:r>
        <w:br/>
        <w:t>- We wszystkich projektach, w których będzie to zasadne i możliwe zostaną zastosowane rozwiązania w zakresie obiegu cyrkularnego (w tym efektywności energetycznej, magazynowania energii a także wykorzystania energii ze źródeł odnawialnych), jak również elementy sprzyjające adaptacji do zmian klimatu (w szczególności zielona i niebieska infrastruktura).</w:t>
      </w:r>
      <w:r>
        <w:br/>
      </w:r>
      <w:r>
        <w:br/>
        <w:t>- Projekt musi być zgodny z zasadą DNSH, w szczególności poprzez zastosowanie rozwiązań uodparniających inwestycję na zmiany klimatu.</w:t>
      </w:r>
      <w:r>
        <w:br/>
      </w:r>
      <w:r>
        <w:br/>
      </w:r>
    </w:p>
    <w:p w14:paraId="02C523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3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3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3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3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3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(UE) 2025/2630 z dnia 16 grudnia 2025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i uchylająca decyzję 2012/21/UE (C/2025/8820), Rozporządzenie Komisji (UE) 2023/2831 z dnia 13 grudnia 2023 r. w sprawie stosowania art. 107 i 108 </w:t>
      </w:r>
      <w:r>
        <w:lastRenderedPageBreak/>
        <w:t>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14:paraId="02C523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3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24 sierpnia 2023 r. w sprawie udzielania pomocy inwestycyjnej na infrastrukturę sportową i wielofunkcyjną infrastrukturę rekreacyjną w ramach regionalnych programów na lata 2021–2027 (Dz.U. 2023 poz. 1818), Rozporządzenie Ministra Funduszy i Polityki Regionalnej z dnia 7 sierpnia 2023 r. w sprawie udzielania pomocy inwestycyjnej na kulturę i zachowanie dziedzictwa kulturowego w ramach regionalnych programów na lata 2021–2027 (Dz.U. 2023 poz. 1678)</w:t>
      </w:r>
    </w:p>
    <w:p w14:paraId="02C523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3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3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3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3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3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3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3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Niekonkurencyjny</w:t>
      </w:r>
    </w:p>
    <w:p w14:paraId="02C523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3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3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3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Partnerstwa, Przedsiębiorstwa realizujące cele publiczne, Służby publiczne</w:t>
      </w:r>
    </w:p>
    <w:p w14:paraId="02C5237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3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kultury, Instytucje sportu, Jednostki organizacyjne działające w imieniu jednostek samorządu terytorialnego, Partnerstwa Publiczno-Prywatne</w:t>
      </w:r>
    </w:p>
    <w:p w14:paraId="02C523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3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cyberbezpieczeństwo, dual-use, zdolności_obronne</w:t>
      </w:r>
    </w:p>
    <w:p w14:paraId="02C523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23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Nie dotyczy, Średnie</w:t>
      </w:r>
    </w:p>
    <w:p w14:paraId="02C523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3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3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3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23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WLWK-PLRO014 - Liczba podmiotów wspartych w zakresie cyberbezpieczeństwa</w:t>
      </w:r>
    </w:p>
    <w:p w14:paraId="02C523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238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WLWK-RCO029 - Pojemność zbudowanych lub odnowionych wielofunkcyjnych schronów</w:t>
      </w:r>
    </w:p>
    <w:p w14:paraId="02C523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3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WLWK-RCR096 - Ludność odnosząca korzyści ze środków ochrony przed ryzykami naturalnymi niezwiązanymi z klimatem oraz ryzykami związanymi z działalnością człowieka</w:t>
      </w:r>
    </w:p>
    <w:p w14:paraId="02C523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386"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41" w:name="_Toc235079879"/>
      <w:r>
        <w:rPr>
          <w:rFonts w:ascii="Calibri" w:hAnsi="Calibri" w:cs="Calibri"/>
          <w:sz w:val="32"/>
        </w:rPr>
        <w:t>Działanie FESL.16.06 Wzmocnienie ochrony ludności oraz obrony cywilnej</w:t>
      </w:r>
      <w:bookmarkEnd w:id="141"/>
    </w:p>
    <w:p w14:paraId="02C523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3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EFRR/FS.CP3.III - Rozwój odpornej infrastruktury obronnej, przy priorytetowym traktowaniu infrastruktury podwójnego zastosowania, w tym w celu wspierania mobilności wojskowej w Unii, oraz zwiększanie gotowości cywilnej</w:t>
      </w:r>
    </w:p>
    <w:p w14:paraId="02C523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3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128 800 000,00</w:t>
      </w:r>
    </w:p>
    <w:p w14:paraId="02C523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3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128 800 000,00</w:t>
      </w:r>
    </w:p>
    <w:p w14:paraId="02C523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3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198 - Infrastruktura obronna oraz budowa i modernizacja infrastruktury podwójnego zastosowania, w tym na potrzeby mobilności wojskowej</w:t>
      </w:r>
    </w:p>
    <w:p w14:paraId="02C523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3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 Wsparcie w ramach działania ukierunkowane jest na wzmocnienie zdolności ochrony ludności oraz obrony cywilnej w sytuacjach kryzysowych, w tym konfliktów zbrojnych, zdarzeń masowych oraz zagrożeń CBRN, poprzez realizację projektów infrastrukturalnych o charakterze podwójnego zastosowania (dual-use).</w:t>
      </w:r>
      <w:r>
        <w:br/>
      </w:r>
      <w:r>
        <w:br/>
        <w:t>Interwencja obejmuje w szczególności następujące obszary:</w:t>
      </w:r>
      <w:r>
        <w:br/>
      </w:r>
      <w:r>
        <w:br/>
        <w:t>1.</w:t>
      </w:r>
      <w:r>
        <w:tab/>
        <w:t>Infrastrukturę ochrony ludności i obrony cywilnej, w tym budowę, przebudowę lub adaptację obiektów zbiorowej ochrony (schrony, miejsca ukrycia, miejsca doraźnego schronienia), magazynów oraz innych obiektów niezbędnych do realizacji zadań ochronnych;</w:t>
      </w:r>
      <w:r>
        <w:br/>
        <w:t>a.</w:t>
      </w:r>
      <w:r>
        <w:tab/>
        <w:t>Inwestycje powinny być zgodne z Ustawą o ochronie ludności i obronie cywilnej (tzw. OLiOC) - o ile to możliwe.</w:t>
      </w:r>
      <w:r>
        <w:br/>
      </w:r>
      <w:r>
        <w:br/>
        <w:t>2.</w:t>
      </w:r>
      <w:r>
        <w:tab/>
        <w:t>Wzmocnienie bezpieczeństwa energetycznego infrastruktury, rozumiane jako zapewnienie ciągłości funkcjonowania obiektów w sytuacjach kryzysowych, w szczególności poprzez zastosowanie rozwiązań umożliwiających autonomiczne zasilanie wraz z ochroną termiczną budynków;</w:t>
      </w:r>
      <w:r>
        <w:br/>
        <w:t>a.</w:t>
      </w:r>
      <w:r>
        <w:tab/>
        <w:t>Wzmocnienie bezpieczeństwa może być realizowane również jako modernizacja energetyczna budynku i/lub zastosowanie OZE – konieczne jest wówczas zagwarantowanie niezależności energetycznej budynku poprzez realizację minimalnego zakresu umożliwiającego funkcjonowanie obiektu w przypadku braku zasilania z sieci z powodu wystąpienia sytuacji kryzysowej np. poprzez zakup agregatu prądotwórczego, montaż instalacji PV przystosowanej do pracy w trybie off-grid, montaż magazynu energii elektrycznej przystosowany do pracy w trybie off-grid).</w:t>
      </w:r>
      <w:r>
        <w:br/>
      </w:r>
      <w:r>
        <w:br/>
        <w:t>3.</w:t>
      </w:r>
      <w:r>
        <w:tab/>
        <w:t>Infrastrukturę drogową o znaczeniu wojewódzkim, realizowaną jako infrastruktura podwójnego zastosowania, służącą ochronie ludności, obronie cywilnej oraz mobilności wojskowej;</w:t>
      </w:r>
      <w:r>
        <w:br/>
        <w:t>a.</w:t>
      </w:r>
      <w:r>
        <w:tab/>
        <w:t xml:space="preserve">Wsparcie obejmuje budowę, przebudowę, rozbudowę lub modernizację dróg publicznych </w:t>
      </w:r>
      <w:r>
        <w:lastRenderedPageBreak/>
        <w:t xml:space="preserve">realizowanych jako infrastruktura podwójnego zastosowania, służących ochronie ludności, obronie cywilnej, zarządzaniu kryzysowemu oraz mobilności wojskowej o znaczeniu wojewódzkim. </w:t>
      </w:r>
      <w:r>
        <w:br/>
        <w:t>Dofinansowanie dotyczy dróg zapewniających lub usprawniających dostęp do obiektów i obszarów istotnych dla tych funkcji, w tym ochrony zdrowia i realizacji zadań obronnych.</w:t>
      </w:r>
      <w:r>
        <w:br/>
        <w:t>b.</w:t>
      </w:r>
      <w:r>
        <w:tab/>
        <w:t>Inwestycje powinny poprawiać parametry i ciągłość sieci drogowej, ograniczać wąskie gardła oraz wzmacniać mobilność cywilną, powiązania gospodarcze, reagowanie kryzysowe, odporność regionu i funkcjonowanie krytycznych łańcuchów dostaw.</w:t>
      </w:r>
      <w:r>
        <w:br/>
        <w:t>c.</w:t>
      </w:r>
      <w:r>
        <w:tab/>
        <w:t>Preferowane będą projekty wzmacniające powiązania z siecią transportową o znaczeniu krajowym, unijnym lub transgranicznym.</w:t>
      </w:r>
      <w:r>
        <w:br/>
        <w:t>d.</w:t>
      </w:r>
      <w:r>
        <w:tab/>
        <w:t>Priorytetowo traktowane są inwestycje koncentrujące się na co najmniej jednym z czterech priorytetowych korytarzy mobilności wojskowej zgodnie z zapisami rozporządzenia PE i Rady (UE) 2025/1914.</w:t>
      </w:r>
      <w:r>
        <w:br/>
        <w:t>e.</w:t>
      </w:r>
      <w:r>
        <w:tab/>
        <w:t>Projekt musi spełniać warunki określone w Rozporządzeniu Wykonawczym Komisji (UE) 2021/1328 z dnia 10 sierpnia 2021 r.</w:t>
      </w:r>
      <w:r>
        <w:br/>
        <w:t>f.</w:t>
      </w:r>
      <w:r>
        <w:tab/>
        <w:t>Realizowana inwestycja, bez względu na kategorię drogi, po zakończeniu realizacji musi zapewniać nośność drogi wynoszącą minimum 11,5 t na oś.</w:t>
      </w:r>
      <w:r>
        <w:br/>
        <w:t>g.</w:t>
      </w:r>
      <w:r>
        <w:tab/>
        <w:t>Tam, gdzie jest to technicznie możliwe, projekt powinien obejmować retencję i podczyszczanie wód opadowych z wykorzystaniem zielonej i niebieskiej infrastruktury.</w:t>
      </w:r>
      <w:r>
        <w:br/>
      </w:r>
      <w:r>
        <w:br/>
        <w:t>4.</w:t>
      </w:r>
      <w:r>
        <w:tab/>
        <w:t>Wsparcie infrastruktury ochrony zdrowia, w zakresie przygotowania podmiotów leczniczych do realizacji zadań ochrony ludności i zapewnienia ciągłości świadczeń zdrowotnych w sytuacjach kryzysowych. Obowiązują zasady i warunki, opisane w działaniu 16.3 (z wyjątkiem odniesienia do wysokospecjalistycznych szpitali, warunku dot. Kontraktu Programowego, konieczności uzyskania pozytywnej opinii Wojewody w zakresie zgodności z dokumentami: Programem Ochrony Ludności i Obrony Cywilnej na lata 2025-2026 (oraz jego późniejszymi aktualizacjami) oraz Wojewódzkim Planem Zarządzania Kryzysowego z załącznikami (oraz jego późniejszymi aktualizacjami).</w:t>
      </w:r>
      <w:r>
        <w:br/>
      </w:r>
      <w:r>
        <w:br/>
        <w:t>5.</w:t>
      </w:r>
      <w:r>
        <w:tab/>
        <w:t>Podniesienie poziomu cyberbezpieczeństwa mających na celu zapewnienie ciągłości funkcjonowania infrastruktury krytycznej oraz systemów wykorzystywanych do realizacji zadań ochrony ludności i obrony cywilnej w sytuacjach kryzysowych. Inwestycje muszą być zgodne ze standardami wyznaczonymi w ramach krajowego systemu cyberbezpieczeństwa, w tym zgodne z aktualnymi zapisami Ustawy o krajowym systemie cyberbezpieczeństwa oraz zgodne z aktualnymi zapisami Ustawy ustanawiającej krajowy system certyfikacji cyberbezpieczeństwa. Ponadto, przedsięwzięcia te mają być komplementarne z inwestycjami realizowanymi na poziomie krajowym oraz nie mogą powielać rozwiązań finansowanych z innych źródeł. Inwestycje mają pozostawać w bezpośrednim związku z realizacją zadań ochrony ludności, obrony cywilnej lub zarządzania kryzysowego.</w:t>
      </w:r>
      <w:r>
        <w:br/>
      </w:r>
      <w:r>
        <w:br/>
        <w:t>Projekty z zakresu cyberbezpieczeństwa mogą być realizowane:</w:t>
      </w:r>
      <w:r>
        <w:br/>
        <w:t>a.</w:t>
      </w:r>
      <w:r>
        <w:tab/>
        <w:t>jako element projektów inwestycyjnych obejmujących infrastrukturę ochrony ludności, obrony cywilnej, ochrony zdrowia, infrastruktury budynków użyteczności publicznej lub,</w:t>
      </w:r>
      <w:r>
        <w:br/>
        <w:t>b.</w:t>
      </w:r>
      <w:r>
        <w:tab/>
        <w:t xml:space="preserve">jako samodzielne projekty, których wyłącznym celem jest wzmocnienie odporności cyfrowej podmiotów realizujących zadania z zakresu ochrony ludności, obrony cywilnej lub zarządzania </w:t>
      </w:r>
      <w:r>
        <w:lastRenderedPageBreak/>
        <w:t>kryzysowego.</w:t>
      </w:r>
      <w:r>
        <w:br/>
      </w:r>
      <w:r>
        <w:br/>
        <w:t>W działaniu 16.06 dopuszcza się inwestycje, które realizują więcej niż jeden z w/w obszarów.</w:t>
      </w:r>
      <w:r>
        <w:br/>
      </w:r>
      <w:r>
        <w:br/>
        <w:t>Warunki wsparcia:</w:t>
      </w:r>
      <w:r>
        <w:br/>
      </w:r>
      <w:r>
        <w:br/>
        <w:t>- Realizowane inwestycje muszą być zgodne z Programem Ochrony Ludności i Obrony Cywilnej na lata 2025-2026 (oraz jego późniejszymi aktualizacjami) oraz Wojewódzkim Planem Zarządzania Kryzysowego z załącznikami (oraz jego późniejszymi aktualizacjami) - sposób weryfikacji do ustalenia na dalszym etapie.</w:t>
      </w:r>
      <w:r>
        <w:br/>
      </w:r>
      <w:r>
        <w:br/>
        <w:t>- Dopuszcza się ogłoszenie odrębnych naborów dedykowanych Subregionom - zaangażowanie Subregionów zostanie dookreślone w regulaminie wyboru projektów.</w:t>
      </w:r>
      <w:r>
        <w:br/>
      </w:r>
      <w:r>
        <w:br/>
        <w:t>- Projekty, aplikując o wsparcie, posiadają pozytywną opinię komórki organizacyjnej, właściwej miejscowo jednostki samorządu terytorialnego, ds. Zarządzania Kryzysowego w zakresie zgodności z Programem Ochrony Ludności i Obrony Cywilnej na lata 2025-2026 (oraz jego późniejszymi aktualizacjami) oraz Wojewódzkim Planem Zarządzania Kryzysowego z załącznikami (oraz jego późniejszymi aktualizacjami).</w:t>
      </w:r>
      <w:r>
        <w:br/>
      </w:r>
      <w:r>
        <w:br/>
        <w:t>- Wspierane będą inwestycje o charakterze podwójnego zastosowania, tj. możliwe do wykorzystania zarówno na potrzeby cywilne, jak i związane z reagowaniem kryzysowym, ochroną ludności lub bezpieczeństwem publicznym (dual-use).</w:t>
      </w:r>
      <w:r>
        <w:br/>
      </w:r>
      <w:r>
        <w:br/>
        <w:t>- Zgodnie z art. 7 Rozporządzenia PE i Rady (UE) 2021/1058 - wsparcia nie udziela się m.in. na inwestycje w zakresie produkcji, przetwarzania, transportu, dystrybucji, magazynowania lub spalania paliw kopalnych z wyjątkiem agregatów do produkcji prądu.</w:t>
      </w:r>
      <w:r>
        <w:br/>
      </w:r>
      <w:r>
        <w:br/>
        <w:t>- Działanie będzie realizowane z uwzględnieniem zasad horyzontalnych (zgodnie z art. 9 Rozporządzenia Parlamentu Europejskiego i Rady (UE) nr 2021/1060 z dnia 24 czerwca 2021 r.), a obowiązek ich stosowania wynika z Umowy Partnerstwa, programu oraz wytycznych, z zastrzeżeniem poniższego wyjątku.</w:t>
      </w:r>
      <w:r>
        <w:br/>
      </w:r>
      <w:r>
        <w:br/>
        <w:t>- Projekt musi być zgodny z zasadą deinstytucjonalizacji (DI) oraz upowszechniać model edukacji włączającej. Wyjątek: jeśli projekt obejmuje stworzenie, na terenie obiektu/ w budynku, w którym prowadzona jest działalność niezgodna z zasadą DI lub który dotyczy szkoły specjalnej lub innej placówki prowadzącej do segregacji lub utrzymania segregacji, obiektów niezbędnych do realizacji zadań ochronnych, np. miejsca doraźnego schronienia, ukrycia, schrony, punkty schronienia - pod warunkiem, że miejsca te będą ogólnodostępne.</w:t>
      </w:r>
      <w:r>
        <w:br/>
      </w:r>
      <w:r>
        <w:br/>
        <w:t xml:space="preserve">- We wszystkich projektach, w których będzie to zasadne i możliwe zostaną zastosowane rozwiązania w zakresie obiegu cyrkularnego (w tym efektywności energetycznej, magazynowania energii a także </w:t>
      </w:r>
      <w:r>
        <w:lastRenderedPageBreak/>
        <w:t xml:space="preserve">wykorzystania energii ze źródeł odnawialnych), jak również elementy sprzyjające adaptacji do zmian klimatu (w szczególności zielona i niebieska infrastruktura). </w:t>
      </w:r>
      <w:r>
        <w:br/>
      </w:r>
      <w:r>
        <w:br/>
        <w:t>- Projekt musi być zgodny z zasadą DNSH, w szczególności poprzez zastosowanie rozwiązań uodparniających inwestycję na zmiany klimatu.</w:t>
      </w:r>
      <w:r>
        <w:br/>
      </w:r>
      <w:r>
        <w:br/>
        <w:t>- Rozpoczęcie terminu kwalifikowalności wydatków - 29 grudnia 2025 r.</w:t>
      </w:r>
      <w:r>
        <w:br/>
      </w:r>
    </w:p>
    <w:p w14:paraId="02C523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3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3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3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3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3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Decyzja Komisji (UE) 2025/2630 z dnia 16 grudnia 2025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i uchylająca decyzję 2012/21/UE (C/2025/8820),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14:paraId="02C523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3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w:t>
      </w:r>
      <w:r>
        <w:lastRenderedPageBreak/>
        <w:t>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 Rozporządzenie Ministra Funduszy i Polityki Regionalnej z dnia 24 sierpnia 2023 r. w sprawie udzielania pomocy inwestycyjnej na infrastrukturę sportową i wielofunkcyjną infrastrukturę rekreacyjną w ramach regionalnych programów na lata 2021–2027 (Dz.U. 2023 poz. 1818), Rozporządzenie Ministra Funduszy i Polityki Regionalnej z dnia 7 sierpnia 2023 r. w sprawie udzielania pomocy inwestycyjnej na kulturę i zachowanie dziedzictwa kulturowego w ramach regionalnych programów na lata 2021–2027 (Dz.U. 2023 poz. 1678)</w:t>
      </w:r>
    </w:p>
    <w:p w14:paraId="02C523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3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C523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3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3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3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23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23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23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3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23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3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3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3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Służby publiczne</w:t>
      </w:r>
    </w:p>
    <w:p w14:paraId="02C523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3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Niepubliczne zakłady opieki zdrowotnej, Podmioty świadczące usługi publiczne w ramach realizacji obowiązków własnych jednostek samorządu terytorialnego, Publiczne zakłady opieki zdrowotnej</w:t>
      </w:r>
    </w:p>
    <w:p w14:paraId="02C523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3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dual-use, zdolności_obronne</w:t>
      </w:r>
    </w:p>
    <w:p w14:paraId="02C523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02C523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3A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3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WLWK-PLRO107 - Długość wybudowanych dróg gminnych</w:t>
      </w:r>
    </w:p>
    <w:p w14:paraId="02C523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WLWK-PLRO106 - Długość wybudowanych dróg powiatowych</w:t>
      </w:r>
    </w:p>
    <w:p w14:paraId="02C523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WLWK-PLRO111 - Długość zmodernizowanych lub przebudowanych dróg gminnych</w:t>
      </w:r>
    </w:p>
    <w:p w14:paraId="02C523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WLWK-PLRO110 - Długość zmodernizowanych lub przebudowanych dróg powiatowych</w:t>
      </w:r>
    </w:p>
    <w:p w14:paraId="02C523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WLWK-RCO129 - Infrastruktura dostosowana do wymogów mobilności wojskowej</w:t>
      </w:r>
    </w:p>
    <w:p w14:paraId="02C523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2C523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WLWK-PLRO013 - Liczba osób objętych szkoleniami w zakresie kompetencji cyfrowych</w:t>
      </w:r>
    </w:p>
    <w:p w14:paraId="02C523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WLWK-PLRO014 - Liczba podmiotów wspartych w zakresie cyberbezpieczeństwa</w:t>
      </w:r>
    </w:p>
    <w:p w14:paraId="02C523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2C523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WLWK-PLRO204 - Liczba wspartych podmiotów leczniczych udzielających świadczeń w zakresie innym niż POZ, AOS, psychiatrii na I i II poziomie referencyjnym</w:t>
      </w:r>
    </w:p>
    <w:p w14:paraId="02C523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WLWK-PLRO120 - Liczba wybudowanych obwodnic</w:t>
      </w:r>
    </w:p>
    <w:p w14:paraId="02C523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WLWK-RCO069 - Pojemność nowych lub zmodernizowanych placówek opieki zdrowotnej</w:t>
      </w:r>
    </w:p>
    <w:p w14:paraId="02C523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WLWK-RCO029 - Pojemność zbudowanych lub odnowionych wielofunkcyjnych schronów</w:t>
      </w:r>
    </w:p>
    <w:p w14:paraId="02C523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PROG-FESLO-31 - Liczba wspartych drogowych obiektów inżynierskich</w:t>
      </w:r>
    </w:p>
    <w:p w14:paraId="02C523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3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WLWK-RCR096 - Ludność odnosząca korzyści ze środków ochrony przed ryzykami naturalnymi niezwiązanymi z klimatem oraz ryzykami związanymi z działalnością człowieka</w:t>
      </w:r>
    </w:p>
    <w:p w14:paraId="02C523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WLWK-RCR056 - Oszczędność czasu dzięki udoskonalonej infrastrukturze drogowej</w:t>
      </w:r>
    </w:p>
    <w:p w14:paraId="02C523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WLWK-RCR055 - Roczna liczba użytkowników nowo wybudowanych, przebudowanych, rozbudowanych lub zmodernizowanych dróg</w:t>
      </w:r>
    </w:p>
    <w:p w14:paraId="02C523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WLWK-RCR073 - Roczna liczba użytkowników nowych lub zmodernizowanych placówek opieki zdrowotnej</w:t>
      </w:r>
    </w:p>
    <w:p w14:paraId="02C523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WLWK-RCR011 - Użytkownicy nowych i zmodernizowanych publicznych usług, produktów i procesów cyfrowych</w:t>
      </w:r>
    </w:p>
    <w:p w14:paraId="02C523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2C523C3" w14:textId="77777777" w:rsidR="00123F73" w:rsidRDefault="00993F6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42" w:name="_Toc235079880"/>
      <w:r>
        <w:rPr>
          <w:rFonts w:ascii="Calibri" w:hAnsi="Calibri" w:cs="Calibri"/>
          <w:i w:val="0"/>
          <w:sz w:val="32"/>
        </w:rPr>
        <w:lastRenderedPageBreak/>
        <w:t>Priorytet FESL.17 Fundusze Europejskie na rzecz odporności społecznej</w:t>
      </w:r>
      <w:bookmarkEnd w:id="142"/>
    </w:p>
    <w:p w14:paraId="02C523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C523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Śląskiego</w:t>
      </w:r>
    </w:p>
    <w:p w14:paraId="02C523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2C523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02C523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2C523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02C523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C523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ŚLĄSKIE</w:t>
      </w:r>
    </w:p>
    <w:p w14:paraId="02C523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2C523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68 907 895,00</w:t>
      </w:r>
    </w:p>
    <w:p w14:paraId="02C523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2C523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68 300 000,00</w:t>
      </w:r>
    </w:p>
    <w:p w14:paraId="02C523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02C523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3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2C523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23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C523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3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3D7"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43" w:name="_Toc235079881"/>
      <w:r>
        <w:rPr>
          <w:rFonts w:ascii="Calibri" w:hAnsi="Calibri" w:cs="Calibri"/>
          <w:sz w:val="32"/>
        </w:rPr>
        <w:t>Działanie FESL.17.01 Strategiczne projekty w obszarze odporności społecznej</w:t>
      </w:r>
      <w:bookmarkEnd w:id="143"/>
    </w:p>
    <w:p w14:paraId="02C523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3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02C523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Wysokość alokacji ogółem (EUR)</w:t>
      </w:r>
    </w:p>
    <w:p w14:paraId="02C523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12 157 895,00</w:t>
      </w:r>
    </w:p>
    <w:p w14:paraId="02C523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3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11 550 000,00</w:t>
      </w:r>
    </w:p>
    <w:p w14:paraId="02C523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3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02C523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3E1" w14:textId="460D938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r>
      <w:r>
        <w:br/>
        <w:t>W ramach działania realizowane będzie kompleksowe wsparcie obejmujące strategiczny projekt ukierunkowany na nabywanie kwalifikacji oraz rozwój kompetencji i umiejętności kadr samorządu województwa i jego jednostek organizacyjnych, adresowany do mieszkańców Województwa Śląskiego zatrudnionych w tych strukturach. Projekt ma na celu profesjonalizację kadr w zakresie m.in. gotowości cywilnej, ochrony ludności, zarządzania kryzysowego, cyberbezpieczeństwa oraz przeciwdziałania dezinformacji.</w:t>
      </w:r>
      <w:r>
        <w:br/>
        <w:t>Równolegle przewidziano projekty strategiczne dotyczące udzielania wsparcia grantowego organizacjom pozarządowym takim jak Ochotnicze Straże Pożarne (OSP), Górskie Ochotnicze Pogotowie Ratunkowe (GOPR) oraz Wodne Ochotnicze Pogotowie Ratunkowe (WOPR) w celu nabywania kwalifikacji, rozwoju kompetencji i umiejętności osób zatrudnionych, współpracujących lub działających w tych organizacjach.</w:t>
      </w:r>
      <w:r>
        <w:br/>
      </w:r>
      <w:r>
        <w:br/>
        <w:t>Szkolenia i kursy w ramach działania realizowane będą poza Bazą Usług Rozwojowych.</w:t>
      </w:r>
      <w:r>
        <w:br/>
      </w:r>
      <w:r>
        <w:br/>
        <w:t>Dopuszczalne jest wsparcie w zakresie infrastruktury i wyposażenia, w tym wydatków w ramach cross-financingu i/lub zakupu środków trwałych jedynie w sytuacji, gdy będzie ono wykorzystywane do realizacji zaplanowanych w projekcie szkoleń. Sprzęt jest możliwy do sfinansowania w ramach projektu, tylko w przypadku, gdy pomaga nabyć kwalifikacje lub podnieść kompetencje i umiejętności uczestników. Niedopuszczalny jest zakup sprzętu służącego jedynie obronności cywilnej czy bezpieczeństwu, tj. wykorzystywany do budowania samej obronności.</w:t>
      </w:r>
      <w:r>
        <w:br/>
      </w:r>
      <w:r>
        <w:br/>
        <w:t>W ramach działania przewiduje się realizację następujących typów:</w:t>
      </w:r>
      <w:r>
        <w:br/>
        <w:t>Typ 1: Działania edukacyjne na rzecz nabywania kwalifikacji, rozwoju kompetencji i umiejętności w zakresie gotowości cywilnej</w:t>
      </w:r>
      <w:r>
        <w:br/>
        <w:t>Typ 2: Granty dla organizacji pozarządowych działających w obszarze bezpieczeństwa i ochrony ludności</w:t>
      </w:r>
      <w:r>
        <w:br/>
      </w:r>
      <w:r>
        <w:br/>
        <w:t>Typ 1.</w:t>
      </w:r>
      <w:r w:rsidR="002D509E">
        <w:t xml:space="preserve"> </w:t>
      </w:r>
      <w:r>
        <w:t>Działania edukacyjne na rzecz nabywania kwalifikacji, rozwoju kompetencji i umiejętności w</w:t>
      </w:r>
      <w:r w:rsidR="002D509E">
        <w:t xml:space="preserve"> </w:t>
      </w:r>
      <w:r>
        <w:t>zakresie gotowości cywilnej.</w:t>
      </w:r>
      <w:r>
        <w:br/>
      </w:r>
      <w:r>
        <w:br/>
        <w:t xml:space="preserve">W ramach typu 1, realizowanego w trybie niekonkurencyjnym zaplanowano realizację projektu </w:t>
      </w:r>
      <w:r>
        <w:lastRenderedPageBreak/>
        <w:t>Samorządu Województwa Śląskiego obejmującego dwa komplementarne moduły: szkoleniowy oraz koordynacyjny.</w:t>
      </w:r>
      <w:r w:rsidR="002D509E">
        <w:t xml:space="preserve"> </w:t>
      </w:r>
      <w:r>
        <w:br/>
        <w:t>Moduł szkoleniowy obejmować będzie działania mające na celu nabywanie kwalifikacji oraz rozwijanie kompetencji i umiejętności pracowników Urzędu Marszałkowskiego Województwa Śląskiego oraz pracowników jednostek organizacyjnych samorządu województwa z zakresu m.in gotowości cywilnej, ochrony ludności, zarządzania kryzysowego, cyberbezpieczeństwa oraz przeciwdziałania dezinformacji.</w:t>
      </w:r>
      <w:r>
        <w:br/>
      </w:r>
      <w:r>
        <w:br/>
        <w:t>Działania realizowane będą w szczególności poprzez szkolenia, kursy, warsztaty, ćwiczenia.</w:t>
      </w:r>
      <w:r>
        <w:br/>
      </w:r>
      <w:r>
        <w:br/>
        <w:t>W celu skutecznego rozwijania umiejętności przewidzianych w module szkoleniowym zaplanowano moduł koordynacyjny. Moduł koordynacyjny będzie miał charakter uzupełniający względem modułu szkoleniowego i będzie skoncentrowany na rozwijaniu kompetencji i umiejętności w celu tworzenia mechanizmów koordynacji działań, wymianie doświadczeń, a także budowie trwałego systemu zintegrowanych przedsięwzięć</w:t>
      </w:r>
      <w:r w:rsidR="002D509E">
        <w:t xml:space="preserve"> </w:t>
      </w:r>
      <w:r>
        <w:t>w</w:t>
      </w:r>
      <w:r w:rsidR="002D509E">
        <w:t xml:space="preserve"> </w:t>
      </w:r>
      <w:r>
        <w:t>obszarze bezpieczeństwa i ochrony ludności na poziomie regionalnym, z wykorzystaniem</w:t>
      </w:r>
      <w:r w:rsidR="002D509E">
        <w:t xml:space="preserve"> </w:t>
      </w:r>
      <w:r>
        <w:t xml:space="preserve">istniejących zasobów instytucjonalnych, w tym zasobów kadrowych. </w:t>
      </w:r>
      <w:r>
        <w:br/>
      </w:r>
      <w:r>
        <w:br/>
        <w:t xml:space="preserve">Ponadto w ramach działań możliwe jest opracowanie koncepcji oraz pilotażowe wdrożenie systemu wzajemnego komunikowania się i przekazywania informacji w sytuacjach kryzysowych. </w:t>
      </w:r>
      <w:r>
        <w:br/>
      </w:r>
      <w:r>
        <w:br/>
        <w:t>Typ 2. Granty dla organizacji pozarządowych działających w obszarze bezpieczeństwa i</w:t>
      </w:r>
      <w:r w:rsidR="002D509E">
        <w:t xml:space="preserve"> </w:t>
      </w:r>
      <w:r>
        <w:t>ochrony ludności.</w:t>
      </w:r>
      <w:r>
        <w:br/>
        <w:t>W ramach typu 2, realizowanego w trybie niekonkurencyjnym przez Samorząd Województwa Śląskiego</w:t>
      </w:r>
      <w:r w:rsidR="002D509E">
        <w:t xml:space="preserve"> </w:t>
      </w:r>
      <w:r>
        <w:t>będą udzielane granty.</w:t>
      </w:r>
      <w:r>
        <w:br/>
        <w:t>Granty te przyczynią się do wsparcia mieszkańców Województwa Śląskiego, w szczególności osób działających, zatrudnionych lub współpracujących w organizacjach pozarządowych funkcjonujących w obszarze bezpieczeństwa i ochrony ludności takich jak Ochotnicze Straże Pożarne (OSP), Górskie Ochotnicze Pogotowie Ratunkowe (GOPR) oraz Wodne Ochotnicze Pogotowie Ratunkowe (WOPR).</w:t>
      </w:r>
      <w:r>
        <w:br/>
        <w:t>Zakres interwencji będzie obejmował wsparcie zadań służących nabywaniu kwalifikacji, rozwijaniu kompetencji społecznych, obywatelskich, wiedzy, umiejętności ogólnych w</w:t>
      </w:r>
      <w:r w:rsidR="002D509E">
        <w:t xml:space="preserve"> </w:t>
      </w:r>
      <w:r>
        <w:t>obszarze bezpieczeństwa i</w:t>
      </w:r>
      <w:r w:rsidR="002D509E">
        <w:t xml:space="preserve"> </w:t>
      </w:r>
      <w:r>
        <w:t>ochrony ludności oraz kreowania postaw odpowiedzialności i gotowości na sytuacje zagrożenia.</w:t>
      </w:r>
      <w:r>
        <w:br/>
        <w:t>W ramach wsparcia mającego na celu rozwijanie umiejętności zakłada się również tworzenie sieci współpracy pomiędzy organizacjami służących wymianie doświadczeń oraz upowszechnianiu dobrych praktyk.</w:t>
      </w:r>
      <w:r>
        <w:br/>
      </w:r>
      <w:r>
        <w:br/>
        <w:t>Szczegółowy zakres wsparcia finansowego i merytorycznego wskazany w typie 2, zostanie określony w Regulaminie wyboru projektów.</w:t>
      </w:r>
      <w:r>
        <w:br/>
      </w:r>
      <w:r>
        <w:br/>
        <w:t>Działania podejmowane w ramach projektów niekonkurencyjnych będą komplementarne względem działań i projektów realizowanych na poziomie krajowym w</w:t>
      </w:r>
      <w:r w:rsidR="002D509E">
        <w:t xml:space="preserve"> </w:t>
      </w:r>
      <w:r>
        <w:t>zakresie bezpieczeństwa, ochrony ludności i zarządzania kryzysowego.</w:t>
      </w:r>
      <w:r>
        <w:br/>
      </w:r>
      <w:r>
        <w:br/>
        <w:t xml:space="preserve">Działanie będzie realizowane z uwzględnieniem zasad horyzontalnych (zgodnie z art. 9 Rozporządzenia Parlamentu Europejskiego i Rady (UE) nr 2021/1060 z dnia 24 czerwca 2021 r.), a obowiązek ich </w:t>
      </w:r>
      <w:r>
        <w:lastRenderedPageBreak/>
        <w:t>stosowania wynika z Umowy Partnerstwa, programu oraz wytycznych.</w:t>
      </w:r>
      <w:r>
        <w:br/>
      </w:r>
    </w:p>
    <w:p w14:paraId="02C523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3E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3E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3E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2C523E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3E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23E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3E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23E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3E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w:t>
      </w:r>
    </w:p>
    <w:p w14:paraId="02C523E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3E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3E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3E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23F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23F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3F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23F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23F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3F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23F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Realizacja instrumentów terytorialnych</w:t>
      </w:r>
    </w:p>
    <w:p w14:paraId="02C523F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3F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3F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23F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3F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bezpieczeństwo, cyberbezpieczeństwo, kompetencje, kwalifikacje, szkolenia</w:t>
      </w:r>
    </w:p>
    <w:p w14:paraId="02C523F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3F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23F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23F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240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240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240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WLWK-PLAGO01 - Liczba osób objętych wsparciem w dziedzinie gotowości cywilnej, w przemyśle obronnym lub dziedzinie cyberbezpieczeństwa</w:t>
      </w:r>
    </w:p>
    <w:p w14:paraId="02C5240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240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240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240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240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40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WLWK-PLAGCR01 - Liczba osób, które podniosły umiejętności, lub kompetencje lub nabyły kwalifikacje w dziedzinie gotowości cywilnej, w przemyśle obronnym lub dziedzinie cyberbezpieczeństwa</w:t>
      </w:r>
    </w:p>
    <w:p w14:paraId="02C5240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40A"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44" w:name="_Toc235079882"/>
      <w:r>
        <w:rPr>
          <w:rFonts w:ascii="Calibri" w:hAnsi="Calibri" w:cs="Calibri"/>
          <w:sz w:val="32"/>
        </w:rPr>
        <w:t>Działanie FESL.17.02 Budowanie odporności społecznej w regionie</w:t>
      </w:r>
      <w:bookmarkEnd w:id="144"/>
    </w:p>
    <w:p w14:paraId="02C5240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40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w:t>
      </w:r>
      <w:r>
        <w:lastRenderedPageBreak/>
        <w:t>umiejętności na podstawie potrzeb rynku pracy, ułatwianie zmian ścieżki kariery zawodowej i wspieranie mobilności zawodowej</w:t>
      </w:r>
    </w:p>
    <w:p w14:paraId="02C5240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40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13 658 000,00</w:t>
      </w:r>
    </w:p>
    <w:p w14:paraId="02C5240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41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13 658 000,00</w:t>
      </w:r>
    </w:p>
    <w:p w14:paraId="02C5241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41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02C5241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414" w14:textId="0C5D4512"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 ramach działania realizowane będą projekty wybierane w sposób konkurencyjny, których celem będzie przygotowanie społeczności lokalnych do reagowania w sytuacjach kryzysowych (takich jak konflikty zbrojne, klęski żywiołowe, ataki CBRN, zdarzenia masowe itp.), nabywanie kwalifikacji i kompetencji w dziedzinie gotowości cywilnej oraz bezpieczeństwa, a także wspieranie przedstawicieli podmiotów w zakresie rozwoju lokalnej współpracy na rzecz gotowości cywilnej i bezpieczeństwa (w tym cyberbezpieczeństwa), organizowania pomocy i reagowania kryzysowego. Szkolenia i kursy w ramach działania realizowane będą poza Bazą Usług Rozwojowych.</w:t>
      </w:r>
      <w:r>
        <w:br/>
      </w:r>
      <w:r>
        <w:br/>
        <w:t>Dopuszczalne jest wsparcie w zakresie infrastruktury i wyposażenia, w tym wydatków w ramach cross-financingu i/lub zakupu środków trwałych jedynie w sytuacji, gdy będzie ono wykorzystywane do realizacji zaplanowanych w projekcie szkoleń. Sprzęt jest możliwy do sfinansowania w ramach projektu, tylko w przypadku, gdy pomaga nabyć kwalifikacje lub podnieść kompetencje i umiejętności uczestników. Niedopuszczalny jest zakup sprzętu służącego jedynie obronności cywilnej czy bezpieczeństwu, tj. wykorzystywany do budowania samej obronności.</w:t>
      </w:r>
      <w:r>
        <w:br/>
      </w:r>
      <w:r>
        <w:br/>
        <w:t>W ramach działania przewiduje się realizację następujących typów:</w:t>
      </w:r>
      <w:r>
        <w:br/>
        <w:t>Typ 1: Działania na rzecz nabywania kwalifikacji oraz rozwoju kompetencji i umiejętności mieszkańców w</w:t>
      </w:r>
      <w:r w:rsidR="002D509E">
        <w:t xml:space="preserve"> </w:t>
      </w:r>
      <w:r>
        <w:t>zakresie odporności.</w:t>
      </w:r>
      <w:r>
        <w:br/>
        <w:t>Typ 2: Działania na rzecz nabywania kwalifikacji oraz rozwoju kompetencji i umiejętności przedstawicieli podmiotów w celu wzmocnienia lokalnej współpracy w zakresie bezpieczeństwa mieszkańców.</w:t>
      </w:r>
      <w:r>
        <w:br/>
        <w:t>Typ 3: Działania na rzecz nabywania kwalifikacji i wzmocnienia kompetencji kadr, w szczególności w zakresie profesjonalizacji mechanizmów reagowania na sytuacje kryzysowe (typ uzupełniający)</w:t>
      </w:r>
      <w:r>
        <w:br/>
      </w:r>
      <w:r>
        <w:br/>
        <w:t>Typ 1: Działania na rzecz nabywania kwalifikacji oraz rozwoju kompetencji i umiejętności mieszkańców w zakresie odporności.</w:t>
      </w:r>
      <w:r>
        <w:br/>
      </w:r>
      <w:r>
        <w:br/>
        <w:t>W ramach typu 1 planuje się działania ukierunkowane na nabywanie kwalifikacji, rozwój umiejętności podnoszenie wiedzy, oraz przygotowania mieszkańców (w tym z grup o specjalnych potrzebach) z zakresu m.in.:</w:t>
      </w:r>
      <w:r>
        <w:br/>
      </w:r>
      <w:r>
        <w:lastRenderedPageBreak/>
        <w:t>- bezpieczeństwa kryzysowego w tym przygotowania gospodarstwa domowego,</w:t>
      </w:r>
      <w:r>
        <w:br/>
        <w:t>- pierwszej pomocy i umiejętności ratowniczych,</w:t>
      </w:r>
      <w:r>
        <w:br/>
        <w:t>- odporności informacyjnej i przeciwdziałania dezinformacji,</w:t>
      </w:r>
      <w:r>
        <w:br/>
        <w:t>- bezpieczeństwa cybernetycznego,</w:t>
      </w:r>
      <w:r>
        <w:br/>
        <w:t>- budowania odporności społecznej i sąsiedzkiej,</w:t>
      </w:r>
      <w:r>
        <w:br/>
        <w:t>- wsparcia w sytuacjach kryzysu i budowania odporności psychicznej,</w:t>
      </w:r>
      <w:r>
        <w:br/>
        <w:t>- bezpieczeństwa i odporności wśród seniorów oraz ich opiekunów,</w:t>
      </w:r>
      <w:r>
        <w:br/>
        <w:t>- bezpieczeństwa i wsparcia osób z niepełnosprawnościami i ich opiekunów,</w:t>
      </w:r>
      <w:r>
        <w:br/>
        <w:t>- przygotowania cudzoziemców i</w:t>
      </w:r>
      <w:r w:rsidR="002D509E">
        <w:t xml:space="preserve"> </w:t>
      </w:r>
      <w:r>
        <w:t>przedstawicieli mniejszości etnicznych do sytuacji kryzysowych i ich funkcjonowania w systemie bezpieczeństwa lokalnego.</w:t>
      </w:r>
      <w:r>
        <w:br/>
      </w:r>
      <w:r>
        <w:br/>
        <w:t>Działania realizowane będą m.in. poprzez szkolenia, kursy, warsztaty, ćwiczenia, gry symulacyjne.</w:t>
      </w:r>
      <w:r>
        <w:br/>
      </w:r>
      <w:r>
        <w:br/>
        <w:t>Typ 2: Działania na rzecz nabywania kwalifikacji oraz rozwoju kompetencji i umiejętności przedstawicieli podmiotów w celu wzmocnienia lokalnej współpracy w zakresie bezpieczeństwa mieszkańców.</w:t>
      </w:r>
      <w:r>
        <w:br/>
      </w:r>
      <w:r>
        <w:br/>
        <w:t xml:space="preserve">Celem działań w ramach typu 2 jest nabywanie kwalifikacji, rozwój kompetencji i umiejętności przedstawicieli podmiotów w zakresie wspólnego planowania, wymiany informacji, koordynacji i realizacji wspólnych działań w sytuacjach kryzysowych, co służyć będzie wzmocnieniu lokalnych struktur ratowniczych i społecznych. Efektem wsparcia będzie również tworzenie, rozwój i wzmacnianie trwałej współpracy między jednostkami samorządu terytorialnego, organizacjami pozarządowymi, podmiotami ochrony ludności, społecznościami lokalnymi, przedsiębiorcami oraz instytucjami publicznymi, w zakresie bezpieczeństwa, ochrony ludności i budowania odporności społecznej w tym budowanie lokalnych sieci wsparcia i wolontariatu kryzysowego. </w:t>
      </w:r>
      <w:r>
        <w:br/>
        <w:t xml:space="preserve">Wyżej wymienione działania realizowane będą poprzez: wspólne szkolenia, ćwiczenia, warsztaty, coaching, mentoring, peer-to-peer learning, gry decyzyjne itp. , </w:t>
      </w:r>
      <w:r>
        <w:br/>
      </w:r>
      <w:r>
        <w:br/>
        <w:t>Typ 3. Działania na rzecz nabywania kwalifikacji i wzmocnienia kompetencji kadr, w szczególności w zakresie profesjonalizacji mechanizmów reagowania na sytuacje kryzysowe (typ uzupełniający).</w:t>
      </w:r>
      <w:r>
        <w:br/>
      </w:r>
      <w:r>
        <w:br/>
        <w:t>Celem działań w ramach typu 3 jest nabywanie kwalifikacji i wzmocnienie kompetencji kadr w szczególności w zakresie profesjonalizacji wewnętrznych mechanizmów skutecznego reagowania na sytuacje kryzysowe.</w:t>
      </w:r>
      <w:r>
        <w:br/>
        <w:t>Wsparcie możliwe do realizacji poprzez: wizyty studyjne i wymianę doświadczeń przedstawicieli JST, szkolenia, ćwiczenia, warsztaty oraz inne zajęcia praktyczne mające na celu podniesienie odporności psychicznej i umiejętności reagowania w sytuacjach kryzysowych, wypracowanie procedur skutecznego reagowania na sytuacje kryzysowe.</w:t>
      </w:r>
      <w:r>
        <w:br/>
      </w:r>
      <w:r>
        <w:br/>
        <w:t xml:space="preserve">Działania w ramach typu 3 mogą być realizowane jako wsparcie uzupełniające dla kadr wnioskodawcy oraz partnerów będących jst (jeśli dotyczy) projektu. Typ projektu dedykowany jednostkom samorządu terytorialnego. </w:t>
      </w:r>
      <w:r>
        <w:br/>
        <w:t xml:space="preserve">Działanie FESL.17.02 będzie realizowane z uwzględnieniem zasad horyzontalnych (zgodnie z art. 9 </w:t>
      </w:r>
      <w:r>
        <w:lastRenderedPageBreak/>
        <w:t>Rozporządzenia Parlamentu Europejskiego i Rady (UE) nr 2021/1060 z dnia 24 czerwca 2021 r.), a obowiązek ich stosowania wynika z Umowy Partnerstwa, programu oraz wytycznych.</w:t>
      </w:r>
    </w:p>
    <w:p w14:paraId="02C5241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41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41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41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41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41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2C5241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41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2C5241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41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analizę porównawczą (obliczona zgodnie z art. 67(5)(a) rozp. 1303/2013 - podobieństwo rodzaju operacji) [art. 54(c) CPR]</w:t>
      </w:r>
    </w:p>
    <w:p w14:paraId="02C5241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42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42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42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2C5242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C5242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2C5242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02C5242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100 000,00</w:t>
      </w:r>
    </w:p>
    <w:p w14:paraId="02C5242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42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242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42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02C5242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42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C5242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42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bezpieczeństwo, cyberbezpieczeństwo, kompetencje, kwalifikacje, szkolenia</w:t>
      </w:r>
    </w:p>
    <w:p w14:paraId="02C5242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43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243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C5243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C5243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243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243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WLWK-PLAGO01 - Liczba osób objętych wsparciem w dziedzinie gotowości cywilnej, w przemyśle obronnym lub dziedzinie cyberbezpieczeństwa</w:t>
      </w:r>
    </w:p>
    <w:p w14:paraId="02C5243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243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243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243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243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43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WLWK-PLAGCR01 - Liczba osób, które podniosły umiejętności, lub kompetencje lub nabyły kwalifikacje w dziedzinie gotowości cywilnej, w przemyśle obronnym lub dziedzinie cyberbezpieczeństwa</w:t>
      </w:r>
    </w:p>
    <w:p w14:paraId="02C5243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43D"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45" w:name="_Toc235079883"/>
      <w:r>
        <w:rPr>
          <w:rFonts w:ascii="Calibri" w:hAnsi="Calibri" w:cs="Calibri"/>
          <w:sz w:val="32"/>
        </w:rPr>
        <w:t>Działanie FESL.17.03 Szkolenia podwójnego zastosowania (SPZ)</w:t>
      </w:r>
      <w:bookmarkEnd w:id="145"/>
    </w:p>
    <w:p w14:paraId="02C5243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43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w:t>
      </w:r>
      <w:r>
        <w:lastRenderedPageBreak/>
        <w:t>umiejętności na podstawie potrzeb rynku pracy, ułatwianie zmian ścieżki kariery zawodowej i wspieranie mobilności zawodowej</w:t>
      </w:r>
    </w:p>
    <w:p w14:paraId="02C5244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244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244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44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33 692 000,00</w:t>
      </w:r>
    </w:p>
    <w:p w14:paraId="02C5244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44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33 692 000,00</w:t>
      </w:r>
    </w:p>
    <w:p w14:paraId="02C5244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44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02C5244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449" w14:textId="02DDDDCC"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w:t>
      </w:r>
      <w:r>
        <w:br/>
        <w:t>•</w:t>
      </w:r>
      <w:r>
        <w:tab/>
        <w:t>nabycie kwalifikacji zawodowych, sektorowych lub wolnorynkowych;</w:t>
      </w:r>
      <w:r>
        <w:br/>
        <w:t>•</w:t>
      </w:r>
      <w:r>
        <w:tab/>
        <w:t xml:space="preserve">podniesienie kompetencji </w:t>
      </w:r>
      <w:r>
        <w:br/>
        <w:t>przez osoby dorosłe – mieszkające lub pracujące w województwie śląskim, w zakresie</w:t>
      </w:r>
      <w:r w:rsidR="002D509E">
        <w:t xml:space="preserve"> </w:t>
      </w:r>
      <w:r>
        <w:t>podwójnego zastosowania (dual-use), niezbędnych do zapobiegania i zwalczania negatywnych skutków potencjalnych sytuacji zagrażających bezpieczeństwu ludności, z możliwością ich wykorzystania również w pracy zawodowej niezwiązanej bezpośrednio z takimi sytuacjami.</w:t>
      </w:r>
      <w:r>
        <w:br/>
        <w:t>Typy projektów:</w:t>
      </w:r>
      <w:r>
        <w:br/>
        <w:t>1. Szkolenia i kursy – rozliczane w oparciu o koszty rzeczywiście poniesione – dla osób dorosłych, które z własnej inicjatywy zamierzają uzyskać, podnieść lub zmienić kwalifikacje, kompetencje lub umiejętności o podwójnym zastosowaniu (dual-use), niezbędne do zapobiegania i zwalczania negatywnych skutków sytuacji zagrażających bezpieczeństwu ludności (w tym zagrożenia naturalne, awarie techniczne i przemysłowe, sytuacje kryzysowe, zagrożenia CBRN, cyberataki, zagrożenia dla zdrowia publicznego, konflikty zbrojne, klęski żywiołowe, zdarzenia masowe), z możliwością ich wykorzystania również w pracy zawodowej niezwiązanej bezpośrednio z takimi sytuacjami.</w:t>
      </w:r>
      <w:r>
        <w:br/>
        <w:t>2. Szkolenia i kursy – organizowane przez organizacje pozarządowe i rozliczane w oparciu o kwoty ryczałtowe – dla osób dorosłych, które z własnej inicjatywy zamierzają nabyć kwalifikacje, lub podnieść kompetencje lub umiejętności o podwójnym zastosowaniu (dual-use), niezbędne do zapobiegania i zwalczania negatywnych skutków sytuacji zagrażających bezpieczeństwu ludności (w tym zagrożenia naturalne, awarie techniczne i przemysłowe, sytuacje kryzysowe, zagrożenia CBRN, cyberataki, zagrożenia dla zdrowia publicznego, konflikty zbrojne, klęski żywiołowe, zdarzenia masowe), z możliwością ich wykorzystania również w pracy zawodowej niezwiązanej bezpośrednio z takimi sytuacjami.</w:t>
      </w:r>
      <w:r>
        <w:br/>
      </w:r>
      <w:r>
        <w:br/>
        <w:t>Warunki wsparcia:</w:t>
      </w:r>
      <w:r>
        <w:br/>
      </w:r>
      <w:r>
        <w:lastRenderedPageBreak/>
        <w:t>Wsparciem objęte będą szkolenia i kursy dla osób dorosłych zamieszkujących lub pracujących na terenie województwa śląskiego, które z własnej inicjatywy zgłaszają potrzebę uzyskania, podniesienia lub zmiany kwalifikacji zawodowych, sektorowych lub wolnorynkowych albo kompetencji w obszarach o podwójnym zastosowaniu (dual-use), związanych z zapobieganiem i zwalczaniem negatywnych skutków sytuacji zagrażających bezpieczeństwu ludności (np. kwalifikowana pierwsza pomoc, zarządzanie kryzysowe, ochrona ludności, obrona cywilna, reagowanie na zagrożenia CBRN, cyberbezpieczeństwo infrastruktury krytycznej i cyfrowej, obsługa pojazdów specjalnych; obsługa pojazdów, maszyn i urządzeń ratunkowych, maszyn ewakuacyjnych; kwalifikacje operatorów sprzętu specjalistycznego w sytuacjach kryzysowych). Umiejętności te będą mogły być użyte zarówno w reagowaniu kryzysowym, jak i w codziennych obowiązkach zawodowych (np. cyberbezpieczeństwo w sektorze prywatnym, obsługa wózków widłowych w logistyce przemysłowej).</w:t>
      </w:r>
      <w:r>
        <w:br/>
        <w:t>W ramach projektów możliwa będzie organizacja szkoleń, kursów kwalifikacyjnych i doskonalących, w tym zakończonych egzaminem zewnętrznym (np. certyfikaty Urzędu Dozoru Technicznego, państwowe zaświadczenia kwalifikowanej pierwszej pomocy, certyfikaty cyberbezpieczeństwa), prowadzących do uzyskania, podniesienia lub zmiany kwalifikacji zawodowych, sektorowych, wolnorynkowych lub uzyskania kompetencji o podwójnym zastosowaniu, zgodnie z definicjami i zasadami weryfikacji efektów uczenia się określonymi w załączniku nr 2 do Wytycznych dotyczących monitorowania postępu rzeczowego realizacji programów na lata 2021-2027.</w:t>
      </w:r>
      <w:r>
        <w:br/>
        <w:t>Szkolenia są realizowane poza Podmiotowym systemem finansowania usług rozwojowych (PSF).</w:t>
      </w:r>
      <w:r>
        <w:br/>
        <w:t>Aby wykluczyć występowanie pomocy publicznej, szkolenia muszą odbywać się z własnej inicjatywy uczestnika, poza siedzibą pracodawcy uczestnika, a w grupach szkoleniowych objętych tym samym tematem osoby od jednego pracodawcy nie mogą stanowić więcej niż 20% uczestników. Między beneficjentem a pracodawcą uczestnika szkolenia nie mogą występować powiązania w rozumieniu podrozdziału 3.2 Wytycznych kwalifikowalności. Warunki wykluczające występowanie pomocy publicznej uznaje się za spełnione w ramach realizacji projektu, jeżeli zostaną poprawnie zweryfikowane i udokumentowane na etapie rekrutacji uczestnika do projektu. Konieczność weryfikacji pod kątem wykluczenia pomocy dotyczy każdej osoby pracującej, bez względu na inne kryterium przyjęcia do projektu.</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244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44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44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44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44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44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w:t>
      </w:r>
    </w:p>
    <w:p w14:paraId="02C5245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45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45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45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245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45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45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45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45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45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245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45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45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45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Partnerzy społeczni, Przedsiębiorstwa, Przedsiębiorstwa realizujące cele publiczne, Służby publiczne</w:t>
      </w:r>
    </w:p>
    <w:p w14:paraId="02C5245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45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Centra aktywności lokalnej, Duże przedsiębiorstwa, Inne podmioty systemu szkolnictwa wyższego i nauki, Instytucje finansowe, Instytucje integracji i pomocy społecznej, Instytucje otoczenia biznesu, Instytucje rynku pracy, Izby gospodarcze, Jednostki organizacyjne działające w imieniu jednostek samorządu terytorialnego, Jednostki Samorządu Terytorialnego, Lokalne Grupy Działania, MŚP, Niepubliczne podmioty integracji i pomocy społecznej, Organizacje pozarządowe, Organizacje zrzeszające pracodawców, Ośrodki innowacji, Ośrodki kształcenia dorosłych, Partnerstwa instytucji pozarządowych, Partnerstwa Publiczno-Prywatne, Partnerzy gospodarczy, Podmioty ekonomii społecznej, Podmioty świadczące usługi publiczne w ramach realizacji obowiązków własnych jednostek samorządu terytorialnego, Szkoły i inne placówki systemu oświaty, Uczelnie, Związki zawodowe</w:t>
      </w:r>
    </w:p>
    <w:p w14:paraId="02C5246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46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dual-use, technologie_podwójnego_zastosowania</w:t>
      </w:r>
    </w:p>
    <w:p w14:paraId="02C5246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246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246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02C5246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46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46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246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246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246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246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246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WLWK-PLAGO01 - Liczba osób objętych wsparciem w dziedzinie gotowości cywilnej, w przemyśle obronnym lub dziedzinie cyberbezpieczeństwa</w:t>
      </w:r>
    </w:p>
    <w:p w14:paraId="02C5246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246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246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247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247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247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C5247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WLWK-PLAGCR01 - Liczba osób, które podniosły umiejętności, lub kompetencje lub nabyły kwalifikacje w dziedzinie gotowości cywilnej, w przemyśle obronnym lub dziedzinie cyberbezpieczeństwa</w:t>
      </w:r>
    </w:p>
    <w:p w14:paraId="02C5247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247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476"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46" w:name="_Toc235079884"/>
      <w:r>
        <w:rPr>
          <w:rFonts w:ascii="Calibri" w:hAnsi="Calibri" w:cs="Calibri"/>
          <w:sz w:val="32"/>
        </w:rPr>
        <w:t>Działanie FESL.17.04 Subregiony odporne społecznie (SOS)</w:t>
      </w:r>
      <w:bookmarkEnd w:id="146"/>
    </w:p>
    <w:p w14:paraId="02C5247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47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02C5247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247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Wojewódzki Urząd Pracy w Katowicach</w:t>
      </w:r>
    </w:p>
    <w:p w14:paraId="02C5247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47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5 400 000,00</w:t>
      </w:r>
    </w:p>
    <w:p w14:paraId="02C5247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47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5 400 000,00</w:t>
      </w:r>
    </w:p>
    <w:p w14:paraId="02C5247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48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02C5248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482" w14:textId="712F7956"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w:t>
      </w:r>
      <w:r>
        <w:br/>
        <w:t>•</w:t>
      </w:r>
      <w:r>
        <w:tab/>
        <w:t>nabycie kwalifikacji zawodowych, sektorowych lub wolnorynkowych;</w:t>
      </w:r>
      <w:r>
        <w:br/>
        <w:t>•</w:t>
      </w:r>
      <w:r>
        <w:tab/>
        <w:t xml:space="preserve">podniesienie kompetencji </w:t>
      </w:r>
      <w:r>
        <w:br/>
        <w:t>pracowników gminnych i powiatowych jednostek samorządu terytorialnego województwa śląskiego, w tym pracowników Związku ZIT oraz dla pracowników Związku Metropolitalnego w województwie śląskim – w zakresie szeroko rozumianych kwalifikacji i kompetencji mogących przyczynić się do zwiększenia poziomu odporności społecznej, ochrony ludności i obrony cywilnej oraz jakości zarządzania kryzysowego.</w:t>
      </w:r>
      <w:r>
        <w:br/>
      </w:r>
      <w:r>
        <w:br/>
        <w:t>Typ projektów:</w:t>
      </w:r>
      <w:r>
        <w:br/>
        <w:t>1. Szkolenia, kursy i studia podyplomowe dla pracowników gminnych i powiatowych jednostek samorządu terytorialnego województwa śląskiego, w tym pracowników Związku ZIT oraz dla pracowników Związku Metropolitalnego w województwie śląskim (GZM), w zakresie szeroko rozumianych kwalifikacji i kompetencji mogących przyczynić się do zwiększenia poziomu odporności społecznej, ochrony ludności i obrony cywilnej oraz jakości zarządzania kryzysowego, w szczególności w zakresie: odporności psychicznej i zarządzania stresem; organizacji i funkcjonowania systemu ochrony ludności i obrony cywilnej; ochrony ludności w sytuacjach kryzysowych; zapewnienia ciągłości działania JST stosowania przepisów dotyczących ochrony ludności, przygotowań obronnych i odpowiedzialności administracji w sytuacjach kryzysowych; współpracy, wsparcia i współdziałania w ochronie ludności i obronie cywilnej, w tym współpracy z organizacjami pozarządowymi; zarządzania kryzysowego, w tym komunikacji kryzysowej i zarządzania przepływem informacji.</w:t>
      </w:r>
      <w:r>
        <w:br/>
      </w:r>
      <w:r>
        <w:br/>
        <w:t>Warunki wsparcia:</w:t>
      </w:r>
      <w:r>
        <w:br/>
        <w:t>Obszar realizacji projektu to subregion województwa śląskiego właściwy ze względu na siedzibę wnioskodawcy.</w:t>
      </w:r>
      <w:r>
        <w:br/>
        <w:t>Szkolenia i studia podyplomowe (dalej: wsparcie) są realizowane poza Podmiotowym systemem finansowania usług rozwojowych (PSF).</w:t>
      </w:r>
      <w:r>
        <w:br/>
        <w:t>Organizacja wsparcia jest zgodna z przeprowadzoną przez wnioskodawcę diagnozą potrzeb osób biorących udział w projekcie.</w:t>
      </w:r>
      <w:r>
        <w:br/>
      </w:r>
      <w:r>
        <w:lastRenderedPageBreak/>
        <w:t>Efektem wsparcia jest uzyskanie kwalifikacji lub nabycie kompetencji.</w:t>
      </w:r>
      <w:r>
        <w:br/>
        <w:t>Z uwagi na grupę docelową oraz zakres wsparcia możliwego do realizacji pomoc publiczna nie może wystąpić.</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248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48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48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48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48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48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48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48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48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48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248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48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48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49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C5249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C5249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2C5249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49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49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49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ochrony zdrowia, Instytucje wspierające biznes, Organizacje społeczne i związki wyznaniowe, Partnerstwa, Partnerzy społeczni, Przedsiębiorstwa, Przedsiębiorstwa realizujące cele publiczne, Służby publiczne</w:t>
      </w:r>
    </w:p>
    <w:p w14:paraId="02C5249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49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Centra aktywności lokalnej, Duże przedsiębiorstwa, Inne podmioty systemu szkolnictwa wyższego i nauki, Instytucje finansowe, Instytucje integracji i pomocy społecznej, Instytucje otoczenia biznesu, Instytucje rynku pracy, Izby gospodarcze, Jednostki organizacyjne działające w imieniu jednostek samorządu terytorialnego, Jednostki Samorządu Terytorialnego, Lokalne Grupy Działania, MŚP, Niepubliczne podmioty integracji i pomocy społecznej, Organizacje pozarządowe, Organizacje zrzeszające pracodawców, Ośrodki innowacji, Ośrodki kształcenia dorosłych, Partnerstwa instytucji pozarządowych, Partnerstwa Publiczno-Prywatne, Partnerzy gospodarczy, Podmioty ekonomii społecznej, Podmioty świadczące usługi publiczne w ramach realizacji obowiązków własnych jednostek samorządu terytorialnego, Szkoły i inne placówki systemu oświaty, Uczelnie, Związki zawodowe</w:t>
      </w:r>
    </w:p>
    <w:p w14:paraId="02C5249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49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ewakuacja_ludności, kompetencje, kształcenie_dorosłych, kwalifikacje, miejsce_schronienia, sytuacja_kryzysowa, zdolności_obronne</w:t>
      </w:r>
    </w:p>
    <w:p w14:paraId="02C5249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C5249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2C5249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49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49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4A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24A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24A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24A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WLWK-PLAGO01 - Liczba osób objętych wsparciem w dziedzinie gotowości cywilnej, w przemyśle obronnym lub dziedzinie cyberbezpieczeństwa</w:t>
      </w:r>
    </w:p>
    <w:p w14:paraId="02C524A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24A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24A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24A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24A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24A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rezultatu</w:t>
      </w:r>
    </w:p>
    <w:p w14:paraId="02C524A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WLWK-PLAGCR01 - Liczba osób, które podniosły umiejętności, lub kompetencje lub nabyły kwalifikacje w dziedzinie gotowości cywilnej, w przemyśle obronnym lub dziedzinie cyberbezpieczeństwa</w:t>
      </w:r>
    </w:p>
    <w:p w14:paraId="02C524A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2C524A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2C524AD" w14:textId="77777777" w:rsidR="00123F73" w:rsidRDefault="00993F6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47" w:name="_Toc235079885"/>
      <w:r>
        <w:rPr>
          <w:rFonts w:ascii="Calibri" w:hAnsi="Calibri" w:cs="Calibri"/>
          <w:sz w:val="32"/>
        </w:rPr>
        <w:t>Działanie FESL.17.05 Budowanie odpornego szkolnictwa wyższego</w:t>
      </w:r>
      <w:bookmarkEnd w:id="147"/>
    </w:p>
    <w:p w14:paraId="02C524A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C524A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02C524B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C524B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Katowicach</w:t>
      </w:r>
    </w:p>
    <w:p w14:paraId="02C524B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2C524B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4 000 000,00</w:t>
      </w:r>
    </w:p>
    <w:p w14:paraId="02C524B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C524B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4 000 000,00</w:t>
      </w:r>
    </w:p>
    <w:p w14:paraId="02C524B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2C524B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02C524B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C524B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projektu jest zwiększenie poziomu kompetencji studentów w zakresie reagowania na sytuacje kryzysowe oraz funkcjonowania w warunkach podwyższonego ryzyka poprzez wdrożenie zintegrowanego, praktycznego programu szkoleniowego.</w:t>
      </w:r>
      <w:r>
        <w:br/>
      </w:r>
      <w:r>
        <w:br/>
        <w:t>Typy projektu:</w:t>
      </w:r>
      <w:r>
        <w:br/>
        <w:t>Szkolenia i kursy (w tym symulacje, ćwiczenia) dla osób uczących się w województwie śląskim w zakresie szeroko rozumianych kompetencji mogących przyczynić się do reagowania na sytuacje kryzysowe</w:t>
      </w:r>
      <w:r>
        <w:br/>
      </w:r>
      <w:r>
        <w:br/>
        <w:t>Warunki wsparcia:</w:t>
      </w:r>
      <w:r>
        <w:br/>
      </w:r>
      <w:r>
        <w:br/>
        <w:t>1. Program szkoleniowy oraz realizacja szkoleń może obejmować następujące zagadnienia:</w:t>
      </w:r>
      <w:r>
        <w:br/>
      </w:r>
      <w:r>
        <w:lastRenderedPageBreak/>
        <w:t>– praktyczne umiejętności reagowania w sytuacjach zagrożenia;</w:t>
      </w:r>
      <w:r>
        <w:br/>
        <w:t>– kompetencje w zakresie podejmowania decyzji i działania pod presją;</w:t>
      </w:r>
      <w:r>
        <w:br/>
        <w:t>– kompetencje związane z nowymi zagrożeniami, w tym cyberbezpieczeństwem i bezpieczeństwem informacyjnym;</w:t>
      </w:r>
      <w:r>
        <w:br/>
        <w:t>– odporność psychiczna i kompetencje interpersonalne w sytuacjach kryzysowych.</w:t>
      </w:r>
      <w:r>
        <w:br/>
        <w:t>2. Możliwe jest także działanie integrujące uczelnie wyższe i inne instytucje w zakresie przygotowania studentów do funkcjonowania w sytuacjach kryzysowych w tym utworzenie bazy/sieci kontaktów (nie jest to działanie obligatoryjne).</w:t>
      </w:r>
      <w:r>
        <w:br/>
        <w:t>3. Dopuszcza się realizację projektu w formie partnerstwa.</w:t>
      </w:r>
      <w:r>
        <w:br/>
        <w:t>4. Beneficjent dokonuje wyboru partnerów spośród podmiotów innych niż wymienione w art. 4 ustawy z dnia 11 września 2019 r. – Prawo zamówień publicznych z zachowaniem zasady przejrzystości i równego traktowania, w szczególności zgodnie z art. 39 ust. 2-4 ustawy z dnia 28 kwietnia 2022 r. o zasadach realizacji zadań finansowanych ze środków europejskich na lata 2021-2027.</w:t>
      </w:r>
      <w:r>
        <w:br/>
      </w:r>
      <w:r>
        <w:br/>
        <w:t>Działanie będzie realizowane z uwzględnieniem zasad horyzontalnych (zgodnie z art. 9 Rozporządzenia Parlamentu Europejskiego i Rady (UE) nr 2021/1060 z dnia 24 czerwca 2021 r.), a obowiązek ich stosowania wynika z Umowy Partnerstwa, programu oraz wytycznych.</w:t>
      </w:r>
    </w:p>
    <w:p w14:paraId="02C524B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C524B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4B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2C524B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C524B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C524B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4C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2C524C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2C524C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C524C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2C524C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2C524C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C524C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C524C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02C524C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Sposób wyboru projektów</w:t>
      </w:r>
    </w:p>
    <w:p w14:paraId="02C524C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2C524C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C524C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C524C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C524C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Służby publiczne</w:t>
      </w:r>
    </w:p>
    <w:p w14:paraId="02C524C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C524C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podmioty systemu szkolnictwa wyższego i nauki, Jednostki organizacyjne działające w imieniu jednostek samorządu terytorialnego, Jednostki Samorządu Terytorialnego, Ośrodki kształcenia dorosłych, Podmioty świadczące usługi publiczne w ramach realizacji obowiązków własnych jednostek samorządu terytorialnego, Uczelnie</w:t>
      </w:r>
    </w:p>
    <w:p w14:paraId="02C524D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524D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student, sytuacja_kryzysowa, szkolenia, szkolnictwo_wyższe, uczelnia</w:t>
      </w:r>
    </w:p>
    <w:p w14:paraId="02C524D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2C524D3"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https://funduszeue.slaskie.pl/web/guest/kryteria-wyboru</w:t>
      </w:r>
    </w:p>
    <w:p w14:paraId="02C524D4"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C524D5"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2C524D6"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2C524D7"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2C524D8"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2C524D9"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2C524DA"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WLWK-PLAGO01 - Liczba osób objętych wsparciem w dziedzinie gotowości cywilnej, w przemyśle obronnym lub dziedzinie cyberbezpieczeństwa</w:t>
      </w:r>
    </w:p>
    <w:p w14:paraId="02C524DB"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2C524DC"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2C524DD"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2C524DE"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2C524DF"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2C524E0"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rezultatu</w:t>
      </w:r>
    </w:p>
    <w:p w14:paraId="02C524E1"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WLWK-PLAGCR01 - Liczba osób, które podniosły umiejętności, lub kompetencje lub nabyły kwalifikacje w dziedzinie gotowości cywilnej, w przemyśle obronnym lub dziedzinie cyberbezpieczeństwa</w:t>
      </w:r>
    </w:p>
    <w:p w14:paraId="02C524E2" w14:textId="77777777" w:rsidR="00123F73" w:rsidRDefault="00993F6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sectPr w:rsidR="00123F73">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B681D" w14:textId="77777777" w:rsidR="00356087" w:rsidRDefault="00356087">
      <w:pPr>
        <w:spacing w:after="0" w:line="240" w:lineRule="auto"/>
      </w:pPr>
      <w:r>
        <w:separator/>
      </w:r>
    </w:p>
  </w:endnote>
  <w:endnote w:type="continuationSeparator" w:id="0">
    <w:p w14:paraId="1A195DA0" w14:textId="77777777" w:rsidR="00356087" w:rsidRDefault="00356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24E5" w14:textId="222E6AFE" w:rsidR="00993F60" w:rsidRDefault="00993F60">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12AB2" w14:textId="77777777" w:rsidR="00356087" w:rsidRDefault="00356087">
      <w:pPr>
        <w:spacing w:after="0" w:line="240" w:lineRule="auto"/>
      </w:pPr>
      <w:r>
        <w:separator/>
      </w:r>
    </w:p>
  </w:footnote>
  <w:footnote w:type="continuationSeparator" w:id="0">
    <w:p w14:paraId="3227A34A" w14:textId="77777777" w:rsidR="00356087" w:rsidRDefault="003560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F73"/>
    <w:rsid w:val="00123F73"/>
    <w:rsid w:val="002D509E"/>
    <w:rsid w:val="00356087"/>
    <w:rsid w:val="005E6379"/>
    <w:rsid w:val="00900D43"/>
    <w:rsid w:val="00993F60"/>
    <w:rsid w:val="00A11F37"/>
    <w:rsid w:val="00A354BA"/>
    <w:rsid w:val="00A65863"/>
    <w:rsid w:val="00B14886"/>
    <w:rsid w:val="00BF1301"/>
    <w:rsid w:val="00D60E21"/>
    <w:rsid w:val="00F872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50729"/>
  <w15:docId w15:val="{5DCAB399-DA85-48A5-B022-AB2E0767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pl-PL" w:eastAsia="pl-PL" w:bidi="ar-SA"/>
      </w:rPr>
    </w:rPrDefault>
    <w:pPrDefault>
      <w:pPr>
        <w:spacing w:after="1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pPr>
  </w:style>
  <w:style w:type="paragraph" w:styleId="Nagwek1">
    <w:name w:val="heading 1"/>
    <w:basedOn w:val="Normalny"/>
    <w:next w:val="Normalny"/>
    <w:link w:val="Nagwek1Znak"/>
    <w:uiPriority w:val="9"/>
    <w:qFormat/>
    <w:pPr>
      <w:keepNext/>
      <w:keepLines/>
      <w:spacing w:before="240" w:after="0"/>
      <w:outlineLvl w:val="0"/>
    </w:pPr>
    <w:rPr>
      <w:rFonts w:asciiTheme="majorHAnsi" w:hAnsiTheme="majorHAnsi" w:cs="Calibri Light"/>
      <w:color w:val="2F5496" w:themeColor="accent1" w:themeShade="BF"/>
      <w:sz w:val="32"/>
    </w:rPr>
  </w:style>
  <w:style w:type="paragraph" w:styleId="Nagwek2">
    <w:name w:val="heading 2"/>
    <w:basedOn w:val="Normalny"/>
    <w:next w:val="Normalny"/>
    <w:link w:val="Nagwek2Znak"/>
    <w:uiPriority w:val="9"/>
    <w:unhideWhenUsed/>
    <w:qFormat/>
    <w:pPr>
      <w:keepNext/>
      <w:spacing w:before="240" w:after="60"/>
      <w:outlineLvl w:val="1"/>
    </w:pPr>
    <w:rPr>
      <w:rFonts w:ascii="Calibri Light" w:hAnsi="Calibri Light" w:cs="Calibri Light"/>
      <w:b/>
      <w:i/>
      <w:sz w:val="28"/>
    </w:rPr>
  </w:style>
  <w:style w:type="paragraph" w:styleId="Nagwek3">
    <w:name w:val="heading 3"/>
    <w:basedOn w:val="Normalny"/>
    <w:next w:val="Normalny"/>
    <w:link w:val="Nagwek3Znak"/>
    <w:uiPriority w:val="9"/>
    <w:unhideWhenUsed/>
    <w:qFormat/>
    <w:pPr>
      <w:keepNext/>
      <w:spacing w:before="240" w:after="60"/>
      <w:outlineLvl w:val="2"/>
    </w:pPr>
    <w:rPr>
      <w:rFonts w:ascii="Calibri Light" w:hAnsi="Calibri Light" w:cs="Calibri Light"/>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character" w:styleId="Odwoaniedokomentarza">
    <w:name w:val="annotation reference"/>
    <w:uiPriority w:val="99"/>
    <w:rPr>
      <w:sz w:val="16"/>
    </w:rPr>
  </w:style>
  <w:style w:type="paragraph" w:styleId="Tekstkomentarza">
    <w:name w:val="annotation text"/>
    <w:basedOn w:val="Normalny"/>
    <w:link w:val="TekstkomentarzaZnak"/>
    <w:uiPriority w:val="99"/>
    <w:rPr>
      <w:sz w:val="20"/>
    </w:rPr>
  </w:style>
  <w:style w:type="character" w:customStyle="1" w:styleId="TekstkomentarzaZnak">
    <w:name w:val="Tekst komentarza Znak"/>
    <w:link w:val="Tekstkomentarza"/>
    <w:uiPriority w:val="99"/>
  </w:style>
  <w:style w:type="paragraph" w:styleId="Tematkomentarza">
    <w:name w:val="annotation subject"/>
    <w:basedOn w:val="Tekstkomentarza"/>
    <w:next w:val="Tekstkomentarza"/>
    <w:link w:val="TematkomentarzaZnak"/>
    <w:uiPriority w:val="99"/>
    <w:rPr>
      <w:b/>
    </w:rPr>
  </w:style>
  <w:style w:type="character" w:customStyle="1" w:styleId="TematkomentarzaZnak">
    <w:name w:val="Temat komentarza Znak"/>
    <w:link w:val="Tematkomentarza"/>
    <w:uiPriority w:val="99"/>
    <w:rPr>
      <w:b/>
    </w:rPr>
  </w:style>
  <w:style w:type="paragraph" w:styleId="Tekstdymka">
    <w:name w:val="Balloon Text"/>
    <w:basedOn w:val="Normalny"/>
    <w:link w:val="TekstdymkaZnak"/>
    <w:uiPriority w:val="99"/>
    <w:pPr>
      <w:spacing w:after="0" w:line="240" w:lineRule="auto"/>
    </w:pPr>
    <w:rPr>
      <w:rFonts w:ascii="Tahoma" w:hAnsi="Tahoma" w:cs="Tahoma"/>
      <w:sz w:val="16"/>
    </w:rPr>
  </w:style>
  <w:style w:type="character" w:customStyle="1" w:styleId="TekstdymkaZnak">
    <w:name w:val="Tekst dymka Znak"/>
    <w:link w:val="Tekstdymka"/>
    <w:uiPriority w:val="99"/>
    <w:rPr>
      <w:rFonts w:ascii="Tahoma" w:hAnsi="Tahoma" w:cs="Tahoma"/>
      <w:sz w:val="16"/>
    </w:rPr>
  </w:style>
  <w:style w:type="character" w:customStyle="1" w:styleId="Nagwek1Znak">
    <w:name w:val="Nagłówek 1 Znak"/>
    <w:basedOn w:val="Domylnaczcionkaakapitu"/>
    <w:link w:val="Nagwek1"/>
    <w:uiPriority w:val="9"/>
    <w:rPr>
      <w:rFonts w:asciiTheme="majorHAnsi" w:hAnsiTheme="majorHAnsi" w:cs="Calibri Light"/>
      <w:color w:val="2F5496" w:themeColor="accent1" w:themeShade="BF"/>
      <w:sz w:val="32"/>
    </w:rPr>
  </w:style>
  <w:style w:type="paragraph" w:styleId="Nagwekspisutreci">
    <w:name w:val="TOC Heading"/>
    <w:basedOn w:val="Nagwek1"/>
    <w:next w:val="Normalny"/>
    <w:uiPriority w:val="39"/>
    <w:qFormat/>
    <w:pPr>
      <w:spacing w:line="259" w:lineRule="auto"/>
      <w:outlineLvl w:val="9"/>
    </w:pPr>
    <w:rPr>
      <w:rFonts w:ascii="Calibri Light" w:hAnsi="Calibri Light"/>
      <w:color w:val="2E74B5"/>
    </w:rPr>
  </w:style>
  <w:style w:type="paragraph" w:styleId="Spistreci1">
    <w:name w:val="toc 1"/>
    <w:basedOn w:val="Normalny"/>
    <w:next w:val="Normalny"/>
    <w:uiPriority w:val="39"/>
    <w:rPr>
      <w:sz w:val="28"/>
    </w:rPr>
  </w:style>
  <w:style w:type="paragraph" w:styleId="Spistreci2">
    <w:name w:val="toc 2"/>
    <w:basedOn w:val="Normalny"/>
    <w:next w:val="Normalny"/>
    <w:uiPriority w:val="39"/>
    <w:pPr>
      <w:ind w:left="220"/>
    </w:pPr>
    <w:rPr>
      <w:sz w:val="28"/>
    </w:rPr>
  </w:style>
  <w:style w:type="character" w:styleId="Hipercze">
    <w:name w:val="Hyperlink"/>
    <w:uiPriority w:val="99"/>
    <w:rPr>
      <w:color w:val="0563C1"/>
      <w:u w:val="single"/>
    </w:rPr>
  </w:style>
  <w:style w:type="paragraph" w:styleId="Spistreci3">
    <w:name w:val="toc 3"/>
    <w:basedOn w:val="Normalny"/>
    <w:next w:val="Normalny"/>
    <w:uiPriority w:val="39"/>
    <w:pPr>
      <w:spacing w:after="100"/>
      <w:ind w:left="440"/>
    </w:pPr>
    <w:rPr>
      <w:sz w:val="28"/>
    </w:rPr>
  </w:style>
  <w:style w:type="character" w:customStyle="1" w:styleId="Nagwek2Znak">
    <w:name w:val="Nagłówek 2 Znak"/>
    <w:link w:val="Nagwek2"/>
    <w:uiPriority w:val="9"/>
    <w:rPr>
      <w:rFonts w:ascii="Calibri Light" w:hAnsi="Calibri Light" w:cs="Calibri Light"/>
      <w:b/>
      <w:i/>
      <w:sz w:val="28"/>
    </w:rPr>
  </w:style>
  <w:style w:type="character" w:customStyle="1" w:styleId="Nagwek3Znak">
    <w:name w:val="Nagłówek 3 Znak"/>
    <w:link w:val="Nagwek3"/>
    <w:uiPriority w:val="9"/>
    <w:rPr>
      <w:rFonts w:ascii="Calibri Light" w:hAnsi="Calibri Light" w:cs="Calibri Light"/>
      <w:b/>
      <w:sz w:val="26"/>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39"/>
    <w:unhideWhenUsed/>
    <w:rsid w:val="00BF1301"/>
    <w:pPr>
      <w:spacing w:after="100" w:line="259" w:lineRule="auto"/>
      <w:ind w:left="660"/>
    </w:pPr>
    <w:rPr>
      <w:rFonts w:eastAsiaTheme="minorEastAsia" w:cstheme="minorBidi"/>
      <w:szCs w:val="22"/>
    </w:rPr>
  </w:style>
  <w:style w:type="paragraph" w:styleId="Spistreci5">
    <w:name w:val="toc 5"/>
    <w:basedOn w:val="Normalny"/>
    <w:next w:val="Normalny"/>
    <w:autoRedefine/>
    <w:uiPriority w:val="39"/>
    <w:unhideWhenUsed/>
    <w:rsid w:val="00BF1301"/>
    <w:pPr>
      <w:spacing w:after="100" w:line="259" w:lineRule="auto"/>
      <w:ind w:left="880"/>
    </w:pPr>
    <w:rPr>
      <w:rFonts w:eastAsiaTheme="minorEastAsia" w:cstheme="minorBidi"/>
      <w:szCs w:val="22"/>
    </w:rPr>
  </w:style>
  <w:style w:type="paragraph" w:styleId="Spistreci6">
    <w:name w:val="toc 6"/>
    <w:basedOn w:val="Normalny"/>
    <w:next w:val="Normalny"/>
    <w:autoRedefine/>
    <w:uiPriority w:val="39"/>
    <w:unhideWhenUsed/>
    <w:rsid w:val="00BF1301"/>
    <w:pPr>
      <w:spacing w:after="100" w:line="259" w:lineRule="auto"/>
      <w:ind w:left="1100"/>
    </w:pPr>
    <w:rPr>
      <w:rFonts w:eastAsiaTheme="minorEastAsia" w:cstheme="minorBidi"/>
      <w:szCs w:val="22"/>
    </w:rPr>
  </w:style>
  <w:style w:type="paragraph" w:styleId="Spistreci7">
    <w:name w:val="toc 7"/>
    <w:basedOn w:val="Normalny"/>
    <w:next w:val="Normalny"/>
    <w:autoRedefine/>
    <w:uiPriority w:val="39"/>
    <w:unhideWhenUsed/>
    <w:rsid w:val="00BF1301"/>
    <w:pPr>
      <w:spacing w:after="100" w:line="259" w:lineRule="auto"/>
      <w:ind w:left="1320"/>
    </w:pPr>
    <w:rPr>
      <w:rFonts w:eastAsiaTheme="minorEastAsia" w:cstheme="minorBidi"/>
      <w:szCs w:val="22"/>
    </w:rPr>
  </w:style>
  <w:style w:type="paragraph" w:styleId="Spistreci8">
    <w:name w:val="toc 8"/>
    <w:basedOn w:val="Normalny"/>
    <w:next w:val="Normalny"/>
    <w:autoRedefine/>
    <w:uiPriority w:val="39"/>
    <w:unhideWhenUsed/>
    <w:rsid w:val="00BF1301"/>
    <w:pPr>
      <w:spacing w:after="100" w:line="259" w:lineRule="auto"/>
      <w:ind w:left="1540"/>
    </w:pPr>
    <w:rPr>
      <w:rFonts w:eastAsiaTheme="minorEastAsia" w:cstheme="minorBidi"/>
      <w:szCs w:val="22"/>
    </w:rPr>
  </w:style>
  <w:style w:type="paragraph" w:styleId="Spistreci9">
    <w:name w:val="toc 9"/>
    <w:basedOn w:val="Normalny"/>
    <w:next w:val="Normalny"/>
    <w:autoRedefine/>
    <w:uiPriority w:val="39"/>
    <w:unhideWhenUsed/>
    <w:rsid w:val="00BF1301"/>
    <w:pPr>
      <w:spacing w:after="100" w:line="259" w:lineRule="auto"/>
      <w:ind w:left="1760"/>
    </w:pPr>
    <w:rPr>
      <w:rFonts w:eastAsiaTheme="minorEastAsia" w:cstheme="minorBidi"/>
      <w:szCs w:val="22"/>
    </w:rPr>
  </w:style>
  <w:style w:type="character" w:styleId="Nierozpoznanawzmianka">
    <w:name w:val="Unresolved Mention"/>
    <w:basedOn w:val="Domylnaczcionkaakapitu"/>
    <w:uiPriority w:val="99"/>
    <w:semiHidden/>
    <w:unhideWhenUsed/>
    <w:rsid w:val="00BF1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585</Pages>
  <Words>178062</Words>
  <Characters>1068377</Characters>
  <Application>Microsoft Office Word</Application>
  <DocSecurity>0</DocSecurity>
  <Lines>8903</Lines>
  <Paragraphs>2487</Paragraphs>
  <ScaleCrop>false</ScaleCrop>
  <HeadingPairs>
    <vt:vector size="2" baseType="variant">
      <vt:variant>
        <vt:lpstr>Tytuł</vt:lpstr>
      </vt:variant>
      <vt:variant>
        <vt:i4>1</vt:i4>
      </vt:variant>
    </vt:vector>
  </HeadingPairs>
  <TitlesOfParts>
    <vt:vector size="1" baseType="lpstr">
      <vt:lpstr>Szczegółowy Opis Priorytetów Programu Fundusze Europejskie dla Śląskiego 2021-2027 wersja 23</vt:lpstr>
    </vt:vector>
  </TitlesOfParts>
  <Company/>
  <LinksUpToDate>false</LinksUpToDate>
  <CharactersWithSpaces>1243952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Priorytetów Programu Fundusze Europejskie dla Śląskiego 2021-2027 wersja 23</dc:title>
  <dc:subject>Szczegółowy Opis Priorytetów Programu Fundusze Europejskie dla Śląskiego 2021-2027</dc:subject>
  <cp:keywords>SZOP FESL 2021-2027; Działania FESL 2021-2027; Opis Działań</cp:keywords>
  <cp:lastModifiedBy>Matuszewska Paulina</cp:lastModifiedBy>
  <cp:revision>11</cp:revision>
  <dcterms:created xsi:type="dcterms:W3CDTF">2026-07-16T05:35:00Z</dcterms:created>
  <dcterms:modified xsi:type="dcterms:W3CDTF">2026-07-24T05:00:00Z</dcterms:modified>
</cp:coreProperties>
</file>