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3B" w:rsidRDefault="00B8603B" w:rsidP="00B8603B">
      <w:r>
        <w:t>Wszystkie slajdy zawierają logo GIG Instytut Badawczy.</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Pierwszy slajd:</w:t>
      </w:r>
    </w:p>
    <w:p w:rsidR="00B8603B" w:rsidRPr="00B8603B" w:rsidRDefault="00B8603B" w:rsidP="00B8603B">
      <w:pPr>
        <w:rPr>
          <w:rFonts w:eastAsia="Times New Roman" w:cs="Calibri"/>
          <w:kern w:val="0"/>
          <w:lang w:eastAsia="pl-PL"/>
          <w14:ligatures w14:val="none"/>
        </w:rPr>
      </w:pPr>
      <w:r w:rsidRPr="00B8603B">
        <w:rPr>
          <w:rFonts w:eastAsia="Times New Roman" w:cs="Calibri"/>
          <w:kern w:val="0"/>
          <w:lang w:eastAsia="pl-PL"/>
          <w14:ligatures w14:val="none"/>
        </w:rPr>
        <w:t xml:space="preserve">Tekst: </w:t>
      </w:r>
      <w:r>
        <w:t xml:space="preserve"> </w:t>
      </w:r>
      <w:r>
        <w:t xml:space="preserve">Rozbudowa systemu zarządzania terenami </w:t>
      </w:r>
      <w:proofErr w:type="spellStart"/>
      <w:r>
        <w:t>pogórniczymi</w:t>
      </w:r>
      <w:proofErr w:type="spellEnd"/>
      <w:r>
        <w:t xml:space="preserve"> na terenie województwa śląskiego (OPI TPP2.0). Aktualizacja systemu</w:t>
      </w:r>
    </w:p>
    <w:p w:rsidR="00B8603B" w:rsidRPr="00B8603B" w:rsidRDefault="00B8603B" w:rsidP="00B8603B">
      <w:pPr>
        <w:spacing w:line="276" w:lineRule="auto"/>
        <w:rPr>
          <w:szCs w:val="22"/>
        </w:rPr>
      </w:pPr>
      <w:r>
        <w:rPr>
          <w:szCs w:val="22"/>
        </w:rPr>
        <w:t xml:space="preserve">Na dole znajduje się oznaczenie </w:t>
      </w:r>
      <w:r>
        <w:t xml:space="preserve">Human </w:t>
      </w:r>
      <w:proofErr w:type="spellStart"/>
      <w:r>
        <w:t>Resources</w:t>
      </w:r>
      <w:proofErr w:type="spellEnd"/>
      <w:r>
        <w:t xml:space="preserve"> Excellence in </w:t>
      </w:r>
      <w:proofErr w:type="spellStart"/>
      <w:r>
        <w:t>Research</w:t>
      </w:r>
      <w:proofErr w:type="spellEnd"/>
      <w:r>
        <w:t>.</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Drugi slajd:</w:t>
      </w:r>
    </w:p>
    <w:p w:rsidR="00B8603B" w:rsidRDefault="00B8603B" w:rsidP="00B8603B">
      <w:r w:rsidRPr="00B8603B">
        <w:rPr>
          <w:szCs w:val="22"/>
        </w:rPr>
        <w:t xml:space="preserve">Tekst: </w:t>
      </w:r>
      <w:r>
        <w:t xml:space="preserve">E-usługa publiczna w postaci bazy danych terenów </w:t>
      </w:r>
      <w:proofErr w:type="spellStart"/>
      <w:r>
        <w:t>pogórniczych</w:t>
      </w:r>
      <w:proofErr w:type="spellEnd"/>
      <w:r>
        <w:t xml:space="preserve"> i innych terenów poprzemysłowych na terenie województwa śląskiego wraz z narzędziami do ich waloryzacji.</w:t>
      </w:r>
    </w:p>
    <w:p w:rsidR="00B8603B" w:rsidRPr="00B8603B" w:rsidRDefault="00B8603B" w:rsidP="00B8603B">
      <w:pPr>
        <w:rPr>
          <w:szCs w:val="22"/>
        </w:rPr>
      </w:pPr>
      <w:r>
        <w:t>Zdjęcie przedstawia widziany z lotu ptaka krajobraz z hałdą na pierwszym planie. U góry po prawej zamieszczone jest logo OPI TPP 2.0.</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Trzeci slajd:</w:t>
      </w:r>
    </w:p>
    <w:p w:rsidR="00B8603B" w:rsidRDefault="00B8603B" w:rsidP="00B8603B">
      <w:r w:rsidRPr="00B8603B">
        <w:rPr>
          <w:szCs w:val="22"/>
        </w:rPr>
        <w:t xml:space="preserve">Tekst: </w:t>
      </w:r>
      <w:r>
        <w:t>System został opublikowany</w:t>
      </w:r>
      <w:r>
        <w:t xml:space="preserve"> </w:t>
      </w:r>
      <w:r>
        <w:t xml:space="preserve">30 marca 2023 roku, jego administratorem jest </w:t>
      </w:r>
      <w:proofErr w:type="spellStart"/>
      <w:r>
        <w:t>WODGiK</w:t>
      </w:r>
      <w:proofErr w:type="spellEnd"/>
      <w:r>
        <w:t xml:space="preserve"> </w:t>
      </w:r>
      <w:r>
        <w:t>w Katowicach.</w:t>
      </w:r>
    </w:p>
    <w:p w:rsidR="00B8603B" w:rsidRPr="00B8603B" w:rsidRDefault="00B8603B" w:rsidP="00B8603B">
      <w:r>
        <w:t>Slajd zawiera zrzut ekranu</w:t>
      </w:r>
      <w:r w:rsidR="00524BC5">
        <w:t xml:space="preserve"> przedstawiający</w:t>
      </w:r>
      <w:r>
        <w:t xml:space="preserve"> system OPI TPP 2.0 zawierający zdjęcie </w:t>
      </w:r>
      <w:r w:rsidR="00524BC5">
        <w:t>krajobrazu z lotu ptaka oraz dane.</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Czwarty slajd:</w:t>
      </w:r>
    </w:p>
    <w:p w:rsidR="00524BC5" w:rsidRDefault="00B8603B" w:rsidP="00524BC5">
      <w:r w:rsidRPr="00B8603B">
        <w:rPr>
          <w:szCs w:val="22"/>
        </w:rPr>
        <w:t xml:space="preserve">Tekst: </w:t>
      </w:r>
      <w:r w:rsidR="00524BC5">
        <w:t xml:space="preserve">Bazy danych. </w:t>
      </w:r>
      <w:r w:rsidR="00524BC5">
        <w:t>W ramach projektu zinwentaryzowano, opisano i zwaloryzowanoponad300terenów po zakończonej działalności górniczej oraz ok. 270 terenów</w:t>
      </w:r>
      <w:r w:rsidR="00524BC5">
        <w:t xml:space="preserve"> </w:t>
      </w:r>
      <w:r w:rsidR="00524BC5">
        <w:t>po innych typach działalności przemysłowej.</w:t>
      </w:r>
      <w:r w:rsidR="00524BC5">
        <w:t xml:space="preserve"> </w:t>
      </w:r>
      <w:r w:rsidR="00524BC5">
        <w:t>System jest otwarty i umożliwia dodawanie nowych oraz modyfikowanie istniejących treści w sposób ciągły</w:t>
      </w:r>
      <w:r w:rsidR="00524BC5">
        <w:t xml:space="preserve">. </w:t>
      </w:r>
      <w:r w:rsidR="00524BC5">
        <w:t>Mechanizm aktualizacji został zapewniony od strony technicznej i merytorycznej.</w:t>
      </w:r>
    </w:p>
    <w:p w:rsidR="00524BC5" w:rsidRDefault="00524BC5" w:rsidP="00524BC5">
      <w:pPr>
        <w:rPr>
          <w:szCs w:val="22"/>
        </w:rPr>
      </w:pPr>
      <w:r>
        <w:t>Obok tekstu umieszczone jest zdjęcie szybu kopalnianego, hałdy. Na niebie widoczny jest dron.</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Piąty slajd:</w:t>
      </w:r>
    </w:p>
    <w:p w:rsidR="00B8603B" w:rsidRPr="00B8603B" w:rsidRDefault="00B8603B" w:rsidP="00524BC5">
      <w:r w:rsidRPr="00B8603B">
        <w:rPr>
          <w:szCs w:val="22"/>
        </w:rPr>
        <w:t xml:space="preserve">Tekst: </w:t>
      </w:r>
      <w:r w:rsidR="00524BC5">
        <w:t>Aby dodać, usunąć lub zmodyfikować teren opisany w bazie należy udać się na stronę systemu opi-tpp.pl a następnie dokonać rejestracji.</w:t>
      </w:r>
    </w:p>
    <w:p w:rsidR="00B8603B" w:rsidRPr="00B8603B" w:rsidRDefault="00B8603B" w:rsidP="00B8603B">
      <w:pPr>
        <w:spacing w:line="276" w:lineRule="auto"/>
        <w:rPr>
          <w:szCs w:val="22"/>
        </w:rPr>
      </w:pPr>
      <w:r w:rsidRPr="00B8603B">
        <w:rPr>
          <w:szCs w:val="22"/>
        </w:rPr>
        <w:t xml:space="preserve">Grafika przedstawia </w:t>
      </w:r>
      <w:r w:rsidR="00524BC5">
        <w:rPr>
          <w:szCs w:val="22"/>
        </w:rPr>
        <w:t xml:space="preserve">zrzut ekranu </w:t>
      </w:r>
      <w:r w:rsidR="00524BC5">
        <w:t>przedstawiający system OPI TPP 2.0</w:t>
      </w:r>
      <w:r w:rsidR="00524BC5">
        <w:t xml:space="preserve"> </w:t>
      </w:r>
      <w:r w:rsidR="00524BC5">
        <w:rPr>
          <w:szCs w:val="22"/>
        </w:rPr>
        <w:t>z zakreślonym na czerwono polem zawierającym adres strony internetowej opi-tpp.pl/</w:t>
      </w:r>
      <w:proofErr w:type="spellStart"/>
      <w:r w:rsidR="00524BC5">
        <w:rPr>
          <w:szCs w:val="22"/>
        </w:rPr>
        <w:t>home</w:t>
      </w:r>
      <w:proofErr w:type="spellEnd"/>
      <w:r w:rsidR="00524BC5">
        <w:rPr>
          <w:szCs w:val="22"/>
        </w:rPr>
        <w:t xml:space="preserve"> oraz przyciskiem Rejestracja.</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lastRenderedPageBreak/>
        <w:t>Szósty slajd:</w:t>
      </w:r>
    </w:p>
    <w:p w:rsidR="00B8603B" w:rsidRDefault="00B8603B" w:rsidP="00524BC5">
      <w:pPr>
        <w:rPr>
          <w:szCs w:val="22"/>
        </w:rPr>
      </w:pPr>
      <w:r w:rsidRPr="00B8603B">
        <w:rPr>
          <w:szCs w:val="22"/>
        </w:rPr>
        <w:t xml:space="preserve">Tekst: </w:t>
      </w:r>
      <w:r w:rsidR="00524BC5">
        <w:t>W zakładce „formularz zgłoszeniowy” otrzymają Państwo możliwość wnioskowania o dokonanie zmian w bazie OPI TPP –</w:t>
      </w:r>
      <w:r w:rsidR="00524BC5">
        <w:t xml:space="preserve"> </w:t>
      </w:r>
      <w:r w:rsidR="00524BC5">
        <w:t>funkcja dostępna wyłącznie po zarejestrowaniu użytkownika!</w:t>
      </w:r>
    </w:p>
    <w:p w:rsidR="00B8603B" w:rsidRPr="00B8603B" w:rsidRDefault="00B8603B" w:rsidP="00B8603B">
      <w:pPr>
        <w:spacing w:line="276" w:lineRule="auto"/>
        <w:rPr>
          <w:szCs w:val="22"/>
        </w:rPr>
      </w:pPr>
      <w:r w:rsidRPr="00B8603B">
        <w:rPr>
          <w:szCs w:val="22"/>
        </w:rPr>
        <w:t xml:space="preserve">Grafika przedstawia </w:t>
      </w:r>
      <w:r w:rsidR="00524BC5">
        <w:rPr>
          <w:szCs w:val="22"/>
        </w:rPr>
        <w:t xml:space="preserve">zrzut ekranu </w:t>
      </w:r>
      <w:r w:rsidR="00524BC5">
        <w:t>przedstawiający system OPI TPP 2.0</w:t>
      </w:r>
      <w:r w:rsidR="00524BC5">
        <w:t xml:space="preserve"> </w:t>
      </w:r>
      <w:r w:rsidR="00524BC5">
        <w:rPr>
          <w:szCs w:val="22"/>
        </w:rPr>
        <w:t>z zakreślonym na czerwono polem</w:t>
      </w:r>
      <w:r w:rsidR="00524BC5">
        <w:rPr>
          <w:szCs w:val="22"/>
        </w:rPr>
        <w:t xml:space="preserve"> Formularz zgłoszeniowy.</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Siódmy slajd:</w:t>
      </w:r>
    </w:p>
    <w:p w:rsidR="00B8603B" w:rsidRDefault="00B8603B" w:rsidP="00524BC5">
      <w:pPr>
        <w:rPr>
          <w:szCs w:val="22"/>
        </w:rPr>
      </w:pPr>
      <w:r w:rsidRPr="00B8603B">
        <w:rPr>
          <w:szCs w:val="22"/>
        </w:rPr>
        <w:t xml:space="preserve">Tekst: </w:t>
      </w:r>
      <w:r w:rsidR="00524BC5">
        <w:t>Zgłaszający otrzymają formularz zgłoszeniowy obejmujący podstawowe informacje o terenie. Na podstawie wypełnionego formularza administrator systemu decyduje o jego kwalifikacji do bazy OPI TPP.</w:t>
      </w:r>
      <w:r w:rsidR="00EC5297">
        <w:t xml:space="preserve"> </w:t>
      </w:r>
      <w:r w:rsidR="00524BC5">
        <w:t>Dodanie wpisu zwyczajowo nie przekracza 30 dni kalendarzowych.</w:t>
      </w:r>
    </w:p>
    <w:p w:rsidR="00B8603B" w:rsidRPr="00B8603B" w:rsidRDefault="00B8603B" w:rsidP="00B8603B">
      <w:pPr>
        <w:spacing w:line="276" w:lineRule="auto"/>
        <w:rPr>
          <w:szCs w:val="22"/>
        </w:rPr>
      </w:pPr>
      <w:r w:rsidRPr="00B8603B">
        <w:rPr>
          <w:szCs w:val="22"/>
        </w:rPr>
        <w:t xml:space="preserve">Grafika przedstawia </w:t>
      </w:r>
      <w:r w:rsidR="00EC5297">
        <w:rPr>
          <w:szCs w:val="22"/>
        </w:rPr>
        <w:t xml:space="preserve">Formularz szczegółowy zgłoszenia terenu </w:t>
      </w:r>
      <w:proofErr w:type="spellStart"/>
      <w:r w:rsidR="00EC5297">
        <w:rPr>
          <w:szCs w:val="22"/>
        </w:rPr>
        <w:t>pogórniczego</w:t>
      </w:r>
      <w:proofErr w:type="spellEnd"/>
      <w:r w:rsidR="00EC5297">
        <w:rPr>
          <w:szCs w:val="22"/>
        </w:rPr>
        <w:t>/poprzemysłowego do systemu OPI TPP 2.0.</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Ósmy slajd:</w:t>
      </w:r>
    </w:p>
    <w:p w:rsidR="00EC5297" w:rsidRDefault="00B8603B" w:rsidP="00B8603B">
      <w:pPr>
        <w:spacing w:line="276" w:lineRule="auto"/>
        <w:rPr>
          <w:szCs w:val="22"/>
        </w:rPr>
      </w:pPr>
      <w:r w:rsidRPr="00B8603B">
        <w:rPr>
          <w:szCs w:val="22"/>
        </w:rPr>
        <w:t>Tekst</w:t>
      </w:r>
      <w:r w:rsidR="00EC5297">
        <w:rPr>
          <w:szCs w:val="22"/>
        </w:rPr>
        <w:t xml:space="preserve"> zawiera dwie definicje.</w:t>
      </w:r>
    </w:p>
    <w:p w:rsidR="00B8603B" w:rsidRDefault="00EC5297" w:rsidP="00B8603B">
      <w:pPr>
        <w:spacing w:line="276" w:lineRule="auto"/>
        <w:rPr>
          <w:szCs w:val="22"/>
        </w:rPr>
      </w:pPr>
      <w:r>
        <w:rPr>
          <w:szCs w:val="22"/>
        </w:rPr>
        <w:t xml:space="preserve">Teren </w:t>
      </w:r>
      <w:proofErr w:type="spellStart"/>
      <w:r>
        <w:rPr>
          <w:szCs w:val="22"/>
        </w:rPr>
        <w:t>pogórniczy</w:t>
      </w:r>
      <w:proofErr w:type="spellEnd"/>
      <w:r>
        <w:rPr>
          <w:szCs w:val="22"/>
        </w:rPr>
        <w:t>: Teren, na którym była prowadzona działalność górnicza (wyłącznie podziemna eksploatacja węgla kamiennego) lub działalność bezpośrednio z nią związana. Granice terenu wynikają z obszaru historycznie zajmowanego pod wyżej opisaną działalność, przebiegu granic działek geodezyjnych oraz aktualnej struktury przestrzennej. Zasięg terenu jest wypadkową tych trzech składników. Baza obejmuje wyłącznie tereny, którym nie nadano nowych funkcji gospodarczych lub społecznych.</w:t>
      </w:r>
    </w:p>
    <w:p w:rsidR="00EC5297" w:rsidRDefault="00EC5297" w:rsidP="00B8603B">
      <w:pPr>
        <w:spacing w:line="276" w:lineRule="auto"/>
        <w:rPr>
          <w:szCs w:val="22"/>
        </w:rPr>
      </w:pPr>
      <w:r>
        <w:rPr>
          <w:szCs w:val="22"/>
        </w:rPr>
        <w:t>Teren poprzemysłowy: Teren, na którym była prowadzona działalność przemysłowa (inna niż podziemna eksploatacja węgla kamiennego). Granice terenu wynikają z obszaru historycznie zajmowanego pod wyżej opisaną działalność, przebiegu granic działek geodezyjnych oraz aktualnej struktury przestrzennej i jest wypadkową tych trzech składników. Baza obejmuje wyłącznie tereny, którym nie nadano nowych funkcji.</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Dziewiąty slajd:</w:t>
      </w:r>
    </w:p>
    <w:p w:rsidR="00B8603B" w:rsidRDefault="00B8603B" w:rsidP="00B8603B">
      <w:pPr>
        <w:spacing w:line="276" w:lineRule="auto"/>
        <w:rPr>
          <w:szCs w:val="22"/>
        </w:rPr>
      </w:pPr>
      <w:r w:rsidRPr="00B8603B">
        <w:rPr>
          <w:szCs w:val="22"/>
        </w:rPr>
        <w:t>Tekst</w:t>
      </w:r>
      <w:r w:rsidR="000F5E17">
        <w:rPr>
          <w:szCs w:val="22"/>
        </w:rPr>
        <w:t xml:space="preserve"> zawiera dalszy ciąg informacji związanych z definicjami.</w:t>
      </w:r>
    </w:p>
    <w:p w:rsidR="000F5E17" w:rsidRDefault="000F5E17" w:rsidP="00B8603B">
      <w:pPr>
        <w:spacing w:line="276" w:lineRule="auto"/>
        <w:rPr>
          <w:szCs w:val="22"/>
        </w:rPr>
      </w:pPr>
      <w:r>
        <w:rPr>
          <w:szCs w:val="22"/>
        </w:rPr>
        <w:t>Jako teren poprzemysłowy/</w:t>
      </w:r>
      <w:proofErr w:type="spellStart"/>
      <w:r>
        <w:rPr>
          <w:szCs w:val="22"/>
        </w:rPr>
        <w:t>pogórniczy</w:t>
      </w:r>
      <w:proofErr w:type="spellEnd"/>
      <w:r>
        <w:rPr>
          <w:szCs w:val="22"/>
        </w:rPr>
        <w:t xml:space="preserve"> kwalifikowane są obszary:</w:t>
      </w:r>
    </w:p>
    <w:p w:rsidR="000F5E17" w:rsidRPr="000F5E17" w:rsidRDefault="000F5E17" w:rsidP="000F5E17">
      <w:pPr>
        <w:pStyle w:val="Akapitzlist"/>
        <w:numPr>
          <w:ilvl w:val="0"/>
          <w:numId w:val="1"/>
        </w:numPr>
        <w:spacing w:line="276" w:lineRule="auto"/>
        <w:rPr>
          <w:szCs w:val="22"/>
        </w:rPr>
      </w:pPr>
      <w:r>
        <w:rPr>
          <w:szCs w:val="22"/>
        </w:rPr>
        <w:t>k</w:t>
      </w:r>
      <w:r w:rsidRPr="000F5E17">
        <w:rPr>
          <w:szCs w:val="22"/>
        </w:rPr>
        <w:t>tórych powierzchnia stanowiła teren zakładu przemysłowego/górniczego,</w:t>
      </w:r>
    </w:p>
    <w:p w:rsidR="000F5E17" w:rsidRPr="000F5E17" w:rsidRDefault="000F5E17" w:rsidP="000F5E17">
      <w:pPr>
        <w:pStyle w:val="Akapitzlist"/>
        <w:numPr>
          <w:ilvl w:val="0"/>
          <w:numId w:val="1"/>
        </w:numPr>
        <w:spacing w:line="276" w:lineRule="auto"/>
        <w:rPr>
          <w:szCs w:val="22"/>
        </w:rPr>
      </w:pPr>
      <w:r>
        <w:rPr>
          <w:szCs w:val="22"/>
        </w:rPr>
        <w:t>n</w:t>
      </w:r>
      <w:r w:rsidRPr="000F5E17">
        <w:rPr>
          <w:szCs w:val="22"/>
        </w:rPr>
        <w:t>a których działalność przemysłowa/górnicza została zakończona.</w:t>
      </w:r>
    </w:p>
    <w:p w:rsidR="000F5E17" w:rsidRDefault="000F5E17" w:rsidP="00B8603B">
      <w:pPr>
        <w:spacing w:line="276" w:lineRule="auto"/>
        <w:rPr>
          <w:szCs w:val="22"/>
        </w:rPr>
      </w:pPr>
      <w:r>
        <w:rPr>
          <w:szCs w:val="22"/>
        </w:rPr>
        <w:t>Aby teren mógł zostać zakwalifikowany do bazy OPI TPP 2.0:</w:t>
      </w:r>
    </w:p>
    <w:p w:rsidR="000F5E17" w:rsidRPr="000F5E17" w:rsidRDefault="000F5E17" w:rsidP="000F5E17">
      <w:pPr>
        <w:pStyle w:val="Akapitzlist"/>
        <w:numPr>
          <w:ilvl w:val="0"/>
          <w:numId w:val="2"/>
        </w:numPr>
        <w:spacing w:line="276" w:lineRule="auto"/>
        <w:rPr>
          <w:szCs w:val="22"/>
        </w:rPr>
      </w:pPr>
      <w:r>
        <w:rPr>
          <w:szCs w:val="22"/>
        </w:rPr>
        <w:lastRenderedPageBreak/>
        <w:t>n</w:t>
      </w:r>
      <w:r w:rsidRPr="000F5E17">
        <w:rPr>
          <w:szCs w:val="22"/>
        </w:rPr>
        <w:t>ie może być na nim prowadzona działalność gospodarcza, społeczna, rekreacyjna,</w:t>
      </w:r>
    </w:p>
    <w:p w:rsidR="000F5E17" w:rsidRPr="000F5E17" w:rsidRDefault="000F5E17" w:rsidP="000F5E17">
      <w:pPr>
        <w:pStyle w:val="Akapitzlist"/>
        <w:numPr>
          <w:ilvl w:val="0"/>
          <w:numId w:val="2"/>
        </w:numPr>
        <w:spacing w:line="276" w:lineRule="auto"/>
        <w:rPr>
          <w:szCs w:val="22"/>
        </w:rPr>
      </w:pPr>
      <w:r>
        <w:rPr>
          <w:szCs w:val="22"/>
        </w:rPr>
        <w:t>n</w:t>
      </w:r>
      <w:r w:rsidRPr="000F5E17">
        <w:rPr>
          <w:szCs w:val="22"/>
        </w:rPr>
        <w:t>ie może stanowić fragmentu terenu funkcjonującego przedsiębiorstwa — nawet jeśli teren nie jest użytkowany (wyjątkiem są budynki poprzemysłowe, w których pojedyncze pomieszczenia użytkowane są na cele usługowe).</w:t>
      </w:r>
    </w:p>
    <w:p w:rsidR="000F5E17" w:rsidRDefault="000F5E17" w:rsidP="00B8603B">
      <w:pPr>
        <w:spacing w:line="276" w:lineRule="auto"/>
        <w:rPr>
          <w:szCs w:val="22"/>
        </w:rPr>
      </w:pPr>
      <w:r>
        <w:rPr>
          <w:szCs w:val="22"/>
        </w:rPr>
        <w:t>Do bazy OPI TPP 2.0 nie kwalifikują się:</w:t>
      </w:r>
    </w:p>
    <w:p w:rsidR="000F5E17" w:rsidRPr="000F5E17" w:rsidRDefault="000F5E17" w:rsidP="000F5E17">
      <w:pPr>
        <w:pStyle w:val="Akapitzlist"/>
        <w:numPr>
          <w:ilvl w:val="0"/>
          <w:numId w:val="3"/>
        </w:numPr>
        <w:spacing w:line="276" w:lineRule="auto"/>
        <w:rPr>
          <w:szCs w:val="22"/>
        </w:rPr>
      </w:pPr>
      <w:r>
        <w:rPr>
          <w:szCs w:val="22"/>
        </w:rPr>
        <w:t>t</w:t>
      </w:r>
      <w:r w:rsidRPr="000F5E17">
        <w:rPr>
          <w:szCs w:val="22"/>
        </w:rPr>
        <w:t>ereny leśne,</w:t>
      </w:r>
    </w:p>
    <w:p w:rsidR="000F5E17" w:rsidRPr="000F5E17" w:rsidRDefault="000F5E17" w:rsidP="000F5E17">
      <w:pPr>
        <w:pStyle w:val="Akapitzlist"/>
        <w:numPr>
          <w:ilvl w:val="0"/>
          <w:numId w:val="3"/>
        </w:numPr>
        <w:spacing w:line="276" w:lineRule="auto"/>
        <w:rPr>
          <w:szCs w:val="22"/>
        </w:rPr>
      </w:pPr>
      <w:r>
        <w:rPr>
          <w:szCs w:val="22"/>
        </w:rPr>
        <w:t>t</w:t>
      </w:r>
      <w:r w:rsidRPr="000F5E17">
        <w:rPr>
          <w:szCs w:val="22"/>
        </w:rPr>
        <w:t>ereny rolne,</w:t>
      </w:r>
    </w:p>
    <w:p w:rsidR="000F5E17" w:rsidRDefault="000F5E17" w:rsidP="000F5E17">
      <w:pPr>
        <w:pStyle w:val="Akapitzlist"/>
        <w:numPr>
          <w:ilvl w:val="0"/>
          <w:numId w:val="3"/>
        </w:numPr>
        <w:spacing w:line="276" w:lineRule="auto"/>
        <w:rPr>
          <w:szCs w:val="22"/>
        </w:rPr>
      </w:pPr>
      <w:r>
        <w:rPr>
          <w:szCs w:val="22"/>
        </w:rPr>
        <w:t>t</w:t>
      </w:r>
      <w:r w:rsidRPr="000F5E17">
        <w:rPr>
          <w:szCs w:val="22"/>
        </w:rPr>
        <w:t>ereny zbiorników wodnych wykorzystywane na cele rekreacyjne, w tym wędkarskie.</w:t>
      </w:r>
    </w:p>
    <w:p w:rsidR="000F5E17" w:rsidRDefault="000F5E17" w:rsidP="000F5E17">
      <w:pPr>
        <w:spacing w:line="276" w:lineRule="auto"/>
        <w:rPr>
          <w:szCs w:val="22"/>
        </w:rPr>
      </w:pPr>
      <w:r>
        <w:rPr>
          <w:szCs w:val="22"/>
        </w:rPr>
        <w:t>Przesłanka do umieszczenia terenu w bazie OPI TPP 2.0 nie są:</w:t>
      </w:r>
    </w:p>
    <w:p w:rsidR="000F5E17" w:rsidRPr="009F4886" w:rsidRDefault="009F4886" w:rsidP="009F4886">
      <w:pPr>
        <w:pStyle w:val="Akapitzlist"/>
        <w:numPr>
          <w:ilvl w:val="0"/>
          <w:numId w:val="4"/>
        </w:numPr>
        <w:spacing w:line="276" w:lineRule="auto"/>
        <w:rPr>
          <w:szCs w:val="22"/>
        </w:rPr>
      </w:pPr>
      <w:r>
        <w:rPr>
          <w:szCs w:val="22"/>
        </w:rPr>
        <w:t>p</w:t>
      </w:r>
      <w:r w:rsidR="000F5E17" w:rsidRPr="009F4886">
        <w:rPr>
          <w:szCs w:val="22"/>
        </w:rPr>
        <w:t>ołożenie w granicach obszaru/terenu górniczego,</w:t>
      </w:r>
    </w:p>
    <w:p w:rsidR="000F5E17" w:rsidRPr="009F4886" w:rsidRDefault="009F4886" w:rsidP="009F4886">
      <w:pPr>
        <w:pStyle w:val="Akapitzlist"/>
        <w:numPr>
          <w:ilvl w:val="0"/>
          <w:numId w:val="4"/>
        </w:numPr>
        <w:spacing w:line="276" w:lineRule="auto"/>
        <w:rPr>
          <w:szCs w:val="22"/>
        </w:rPr>
      </w:pPr>
      <w:r>
        <w:rPr>
          <w:szCs w:val="22"/>
        </w:rPr>
        <w:t>p</w:t>
      </w:r>
      <w:r w:rsidRPr="009F4886">
        <w:rPr>
          <w:szCs w:val="22"/>
        </w:rPr>
        <w:t>rzeznaczenie w MPZP,</w:t>
      </w:r>
    </w:p>
    <w:p w:rsidR="009F4886" w:rsidRPr="009F4886" w:rsidRDefault="009F4886" w:rsidP="009F4886">
      <w:pPr>
        <w:pStyle w:val="Akapitzlist"/>
        <w:numPr>
          <w:ilvl w:val="0"/>
          <w:numId w:val="4"/>
        </w:numPr>
        <w:spacing w:line="276" w:lineRule="auto"/>
        <w:rPr>
          <w:szCs w:val="22"/>
        </w:rPr>
      </w:pPr>
      <w:r>
        <w:rPr>
          <w:szCs w:val="22"/>
        </w:rPr>
        <w:t>u</w:t>
      </w:r>
      <w:r w:rsidRPr="009F4886">
        <w:rPr>
          <w:szCs w:val="22"/>
        </w:rPr>
        <w:t>jęcie terenu, jako „poprzemysłowy” w dokumentach typu GPR, strategie rozwoju itp.,</w:t>
      </w:r>
    </w:p>
    <w:p w:rsidR="009F4886" w:rsidRPr="009F4886" w:rsidRDefault="009F4886" w:rsidP="009F4886">
      <w:pPr>
        <w:pStyle w:val="Akapitzlist"/>
        <w:numPr>
          <w:ilvl w:val="0"/>
          <w:numId w:val="4"/>
        </w:numPr>
        <w:spacing w:line="276" w:lineRule="auto"/>
        <w:rPr>
          <w:szCs w:val="22"/>
        </w:rPr>
      </w:pPr>
      <w:r>
        <w:rPr>
          <w:szCs w:val="22"/>
        </w:rPr>
        <w:t>p</w:t>
      </w:r>
      <w:r w:rsidRPr="009F4886">
        <w:rPr>
          <w:szCs w:val="22"/>
        </w:rPr>
        <w:t>rzekształcenia, deformacje, zanieczyszczenia wynikające z sąsiedztwa zakładu przemysłowego/górniczego,</w:t>
      </w:r>
    </w:p>
    <w:p w:rsidR="009F4886" w:rsidRPr="009F4886" w:rsidRDefault="009F4886" w:rsidP="009F4886">
      <w:pPr>
        <w:pStyle w:val="Akapitzlist"/>
        <w:numPr>
          <w:ilvl w:val="0"/>
          <w:numId w:val="4"/>
        </w:numPr>
        <w:spacing w:line="276" w:lineRule="auto"/>
        <w:rPr>
          <w:szCs w:val="22"/>
        </w:rPr>
      </w:pPr>
      <w:r>
        <w:rPr>
          <w:szCs w:val="22"/>
        </w:rPr>
        <w:t>p</w:t>
      </w:r>
      <w:r w:rsidRPr="009F4886">
        <w:rPr>
          <w:szCs w:val="22"/>
        </w:rPr>
        <w:t>ołożenie w zasięgu skutków eksploatacji górniczej.</w:t>
      </w:r>
    </w:p>
    <w:p w:rsidR="00B8603B" w:rsidRPr="00B8603B" w:rsidRDefault="00B8603B" w:rsidP="00B8603B">
      <w:pPr>
        <w:keepNext/>
        <w:keepLines/>
        <w:spacing w:before="160" w:after="80" w:line="276" w:lineRule="auto"/>
        <w:outlineLvl w:val="1"/>
        <w:rPr>
          <w:rFonts w:asciiTheme="majorHAnsi" w:eastAsiaTheme="majorEastAsia" w:hAnsiTheme="majorHAnsi" w:cstheme="majorBidi"/>
          <w:color w:val="0F4761" w:themeColor="accent1" w:themeShade="BF"/>
          <w:sz w:val="32"/>
          <w:szCs w:val="32"/>
        </w:rPr>
      </w:pPr>
      <w:r w:rsidRPr="00B8603B">
        <w:rPr>
          <w:rFonts w:asciiTheme="majorHAnsi" w:eastAsiaTheme="majorEastAsia" w:hAnsiTheme="majorHAnsi" w:cstheme="majorBidi"/>
          <w:color w:val="0F4761" w:themeColor="accent1" w:themeShade="BF"/>
          <w:sz w:val="32"/>
          <w:szCs w:val="32"/>
        </w:rPr>
        <w:t>Dziesiąty slajd:</w:t>
      </w:r>
    </w:p>
    <w:p w:rsidR="00B8603B" w:rsidRDefault="00B8603B" w:rsidP="00B8603B">
      <w:pPr>
        <w:spacing w:line="276" w:lineRule="auto"/>
        <w:rPr>
          <w:szCs w:val="22"/>
        </w:rPr>
      </w:pPr>
      <w:r w:rsidRPr="00B8603B">
        <w:rPr>
          <w:szCs w:val="22"/>
        </w:rPr>
        <w:t xml:space="preserve">Tekst: </w:t>
      </w:r>
      <w:r w:rsidR="009F4886">
        <w:rPr>
          <w:szCs w:val="22"/>
        </w:rPr>
        <w:t>Materiały graficzne przygotowane przez Główny Instytut Górnictwa.</w:t>
      </w:r>
    </w:p>
    <w:sectPr w:rsidR="00B86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2F3B"/>
    <w:multiLevelType w:val="hybridMultilevel"/>
    <w:tmpl w:val="722A1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566A2"/>
    <w:multiLevelType w:val="hybridMultilevel"/>
    <w:tmpl w:val="5FE2D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B12A1B"/>
    <w:multiLevelType w:val="hybridMultilevel"/>
    <w:tmpl w:val="F30E1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E334BD"/>
    <w:multiLevelType w:val="hybridMultilevel"/>
    <w:tmpl w:val="FDE6E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4054190">
    <w:abstractNumId w:val="2"/>
  </w:num>
  <w:num w:numId="2" w16cid:durableId="1737627959">
    <w:abstractNumId w:val="0"/>
  </w:num>
  <w:num w:numId="3" w16cid:durableId="889615935">
    <w:abstractNumId w:val="1"/>
  </w:num>
  <w:num w:numId="4" w16cid:durableId="344290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3B"/>
    <w:rsid w:val="0002441C"/>
    <w:rsid w:val="000F5E17"/>
    <w:rsid w:val="003D41BE"/>
    <w:rsid w:val="00422EE5"/>
    <w:rsid w:val="00524BC5"/>
    <w:rsid w:val="009F4886"/>
    <w:rsid w:val="00B8603B"/>
    <w:rsid w:val="00EC5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755"/>
  <w15:chartTrackingRefBased/>
  <w15:docId w15:val="{339F49B4-CC11-4B5A-9701-77E8A4B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60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60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60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60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60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60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60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60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60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60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60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60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60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60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60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603B"/>
    <w:rPr>
      <w:rFonts w:eastAsiaTheme="majorEastAsia" w:cstheme="majorBidi"/>
      <w:color w:val="272727" w:themeColor="text1" w:themeTint="D8"/>
    </w:rPr>
  </w:style>
  <w:style w:type="paragraph" w:styleId="Tytu">
    <w:name w:val="Title"/>
    <w:basedOn w:val="Normalny"/>
    <w:next w:val="Normalny"/>
    <w:link w:val="TytuZnak"/>
    <w:uiPriority w:val="10"/>
    <w:qFormat/>
    <w:rsid w:val="00B8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60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60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60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603B"/>
    <w:pPr>
      <w:spacing w:before="160"/>
      <w:jc w:val="center"/>
    </w:pPr>
    <w:rPr>
      <w:i/>
      <w:iCs/>
      <w:color w:val="404040" w:themeColor="text1" w:themeTint="BF"/>
    </w:rPr>
  </w:style>
  <w:style w:type="character" w:customStyle="1" w:styleId="CytatZnak">
    <w:name w:val="Cytat Znak"/>
    <w:basedOn w:val="Domylnaczcionkaakapitu"/>
    <w:link w:val="Cytat"/>
    <w:uiPriority w:val="29"/>
    <w:rsid w:val="00B8603B"/>
    <w:rPr>
      <w:i/>
      <w:iCs/>
      <w:color w:val="404040" w:themeColor="text1" w:themeTint="BF"/>
    </w:rPr>
  </w:style>
  <w:style w:type="paragraph" w:styleId="Akapitzlist">
    <w:name w:val="List Paragraph"/>
    <w:basedOn w:val="Normalny"/>
    <w:uiPriority w:val="34"/>
    <w:qFormat/>
    <w:rsid w:val="00B8603B"/>
    <w:pPr>
      <w:ind w:left="720"/>
      <w:contextualSpacing/>
    </w:pPr>
  </w:style>
  <w:style w:type="character" w:styleId="Wyrnienieintensywne">
    <w:name w:val="Intense Emphasis"/>
    <w:basedOn w:val="Domylnaczcionkaakapitu"/>
    <w:uiPriority w:val="21"/>
    <w:qFormat/>
    <w:rsid w:val="00B8603B"/>
    <w:rPr>
      <w:i/>
      <w:iCs/>
      <w:color w:val="0F4761" w:themeColor="accent1" w:themeShade="BF"/>
    </w:rPr>
  </w:style>
  <w:style w:type="paragraph" w:styleId="Cytatintensywny">
    <w:name w:val="Intense Quote"/>
    <w:basedOn w:val="Normalny"/>
    <w:next w:val="Normalny"/>
    <w:link w:val="CytatintensywnyZnak"/>
    <w:uiPriority w:val="30"/>
    <w:qFormat/>
    <w:rsid w:val="00B8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603B"/>
    <w:rPr>
      <w:i/>
      <w:iCs/>
      <w:color w:val="0F4761" w:themeColor="accent1" w:themeShade="BF"/>
    </w:rPr>
  </w:style>
  <w:style w:type="character" w:styleId="Odwoanieintensywne">
    <w:name w:val="Intense Reference"/>
    <w:basedOn w:val="Domylnaczcionkaakapitu"/>
    <w:uiPriority w:val="32"/>
    <w:qFormat/>
    <w:rsid w:val="00B8603B"/>
    <w:rPr>
      <w:b/>
      <w:bCs/>
      <w:smallCaps/>
      <w:color w:val="0F4761" w:themeColor="accent1" w:themeShade="BF"/>
      <w:spacing w:val="5"/>
    </w:rPr>
  </w:style>
  <w:style w:type="paragraph" w:customStyle="1" w:styleId="Default">
    <w:name w:val="Default"/>
    <w:rsid w:val="00B8603B"/>
    <w:pPr>
      <w:autoSpaceDE w:val="0"/>
      <w:autoSpaceDN w:val="0"/>
      <w:adjustRightInd w:val="0"/>
      <w:spacing w:after="0" w:line="240" w:lineRule="auto"/>
    </w:pPr>
    <w:rPr>
      <w:rFonts w:ascii="Open Sans" w:hAnsi="Open Sans" w:cs="Open San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648</Words>
  <Characters>3889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Trólka</dc:creator>
  <cp:keywords/>
  <dc:description/>
  <cp:lastModifiedBy>Anna Trólka</cp:lastModifiedBy>
  <cp:revision>1</cp:revision>
  <dcterms:created xsi:type="dcterms:W3CDTF">2025-07-04T05:54:00Z</dcterms:created>
  <dcterms:modified xsi:type="dcterms:W3CDTF">2025-07-04T06:48:00Z</dcterms:modified>
</cp:coreProperties>
</file>